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78" w:rsidRPr="00E57DA5" w:rsidRDefault="00B57BF8" w:rsidP="004563BC">
      <w:pPr>
        <w:pStyle w:val="Default"/>
        <w:spacing w:before="120" w:after="120" w:line="360" w:lineRule="auto"/>
        <w:jc w:val="both"/>
        <w:rPr>
          <w:sz w:val="22"/>
          <w:szCs w:val="22"/>
        </w:rPr>
      </w:pPr>
      <w:r w:rsidRPr="00E57DA5">
        <w:rPr>
          <w:sz w:val="22"/>
          <w:szCs w:val="22"/>
        </w:rPr>
        <w:t xml:space="preserve">All’attenzione del Sindaco </w:t>
      </w:r>
    </w:p>
    <w:p w:rsidR="00B57BF8" w:rsidRPr="00E57DA5" w:rsidRDefault="00160778" w:rsidP="004563BC">
      <w:pPr>
        <w:pStyle w:val="Default"/>
        <w:spacing w:before="120" w:after="120" w:line="360" w:lineRule="auto"/>
        <w:jc w:val="both"/>
        <w:rPr>
          <w:sz w:val="22"/>
          <w:szCs w:val="22"/>
        </w:rPr>
      </w:pPr>
      <w:r w:rsidRPr="00E57DA5">
        <w:rPr>
          <w:sz w:val="22"/>
          <w:szCs w:val="22"/>
        </w:rPr>
        <w:t>e</w:t>
      </w:r>
      <w:r w:rsidR="00B57BF8" w:rsidRPr="00E57DA5">
        <w:rPr>
          <w:sz w:val="22"/>
          <w:szCs w:val="22"/>
        </w:rPr>
        <w:t xml:space="preserve"> p/c European Consumers</w:t>
      </w:r>
    </w:p>
    <w:p w:rsidR="00B57BF8" w:rsidRPr="00E57DA5" w:rsidRDefault="00B57BF8" w:rsidP="004563BC">
      <w:pPr>
        <w:pStyle w:val="Default"/>
        <w:spacing w:before="120" w:after="120" w:line="360" w:lineRule="auto"/>
        <w:jc w:val="both"/>
        <w:rPr>
          <w:sz w:val="22"/>
          <w:szCs w:val="22"/>
        </w:rPr>
      </w:pPr>
    </w:p>
    <w:p w:rsidR="00565376" w:rsidRPr="00E57DA5" w:rsidRDefault="00B57BF8" w:rsidP="004563BC">
      <w:pPr>
        <w:pStyle w:val="Default"/>
        <w:spacing w:before="120" w:after="120" w:line="360" w:lineRule="auto"/>
        <w:jc w:val="both"/>
        <w:rPr>
          <w:color w:val="FF0000"/>
          <w:sz w:val="22"/>
          <w:szCs w:val="22"/>
        </w:rPr>
      </w:pPr>
      <w:r w:rsidRPr="00E57DA5">
        <w:rPr>
          <w:b/>
          <w:sz w:val="22"/>
          <w:szCs w:val="22"/>
        </w:rPr>
        <w:t>Oggetto</w:t>
      </w:r>
      <w:r w:rsidRPr="00E57DA5">
        <w:rPr>
          <w:sz w:val="22"/>
          <w:szCs w:val="22"/>
        </w:rPr>
        <w:t xml:space="preserve">: </w:t>
      </w:r>
      <w:r w:rsidR="000770AE" w:rsidRPr="00E57DA5">
        <w:rPr>
          <w:sz w:val="22"/>
          <w:szCs w:val="22"/>
        </w:rPr>
        <w:t xml:space="preserve">segnalazione di </w:t>
      </w:r>
      <w:r w:rsidR="00565376" w:rsidRPr="00E57DA5">
        <w:rPr>
          <w:sz w:val="22"/>
          <w:szCs w:val="22"/>
        </w:rPr>
        <w:t xml:space="preserve">avvenuta installazione di dispositivo </w:t>
      </w:r>
      <w:proofErr w:type="spellStart"/>
      <w:r w:rsidR="00565376" w:rsidRPr="00E57DA5">
        <w:rPr>
          <w:sz w:val="22"/>
          <w:szCs w:val="22"/>
        </w:rPr>
        <w:t>cell</w:t>
      </w:r>
      <w:proofErr w:type="spellEnd"/>
      <w:r w:rsidR="00565376" w:rsidRPr="00E57DA5">
        <w:rPr>
          <w:sz w:val="22"/>
          <w:szCs w:val="22"/>
        </w:rPr>
        <w:t xml:space="preserve"> </w:t>
      </w:r>
      <w:proofErr w:type="spellStart"/>
      <w:r w:rsidR="00565376" w:rsidRPr="00E57DA5">
        <w:rPr>
          <w:sz w:val="22"/>
          <w:szCs w:val="22"/>
        </w:rPr>
        <w:t>phone</w:t>
      </w:r>
      <w:proofErr w:type="spellEnd"/>
      <w:r w:rsidR="00565376" w:rsidRPr="00E57DA5">
        <w:rPr>
          <w:sz w:val="22"/>
          <w:szCs w:val="22"/>
        </w:rPr>
        <w:t xml:space="preserve"> </w:t>
      </w:r>
      <w:proofErr w:type="spellStart"/>
      <w:r w:rsidR="00565376" w:rsidRPr="00E57DA5">
        <w:rPr>
          <w:sz w:val="22"/>
          <w:szCs w:val="22"/>
        </w:rPr>
        <w:t>signal</w:t>
      </w:r>
      <w:proofErr w:type="spellEnd"/>
      <w:r w:rsidR="00565376" w:rsidRPr="00E57DA5">
        <w:rPr>
          <w:sz w:val="22"/>
          <w:szCs w:val="22"/>
        </w:rPr>
        <w:t xml:space="preserve"> booster</w:t>
      </w:r>
      <w:r w:rsidR="003000BD" w:rsidRPr="00E57DA5">
        <w:rPr>
          <w:sz w:val="22"/>
          <w:szCs w:val="22"/>
        </w:rPr>
        <w:t xml:space="preserve"> </w:t>
      </w:r>
    </w:p>
    <w:p w:rsidR="00B57BF8" w:rsidRPr="00E57DA5" w:rsidRDefault="00B57BF8" w:rsidP="004563BC">
      <w:pPr>
        <w:autoSpaceDE w:val="0"/>
        <w:autoSpaceDN w:val="0"/>
        <w:adjustRightInd w:val="0"/>
        <w:spacing w:before="120" w:after="120" w:line="360" w:lineRule="auto"/>
        <w:jc w:val="both"/>
        <w:rPr>
          <w:rFonts w:ascii="Times New Roman" w:hAnsi="Times New Roman" w:cs="Times New Roman"/>
          <w:b/>
          <w:bCs/>
          <w:color w:val="000000"/>
        </w:rPr>
      </w:pPr>
    </w:p>
    <w:p w:rsidR="00DE03FE" w:rsidRPr="00E57DA5" w:rsidRDefault="00DE03FE" w:rsidP="004563BC">
      <w:pPr>
        <w:autoSpaceDE w:val="0"/>
        <w:autoSpaceDN w:val="0"/>
        <w:adjustRightInd w:val="0"/>
        <w:spacing w:before="120" w:after="120" w:line="360" w:lineRule="auto"/>
        <w:jc w:val="both"/>
        <w:rPr>
          <w:rFonts w:ascii="Times New Roman" w:hAnsi="Times New Roman" w:cs="Times New Roman"/>
          <w:bCs/>
          <w:color w:val="000000"/>
        </w:rPr>
      </w:pPr>
      <w:r w:rsidRPr="00E57DA5">
        <w:rPr>
          <w:rFonts w:ascii="Times New Roman" w:hAnsi="Times New Roman" w:cs="Times New Roman"/>
          <w:bCs/>
          <w:color w:val="000000"/>
        </w:rPr>
        <w:t>Il sottoscritto (</w:t>
      </w:r>
      <w:r w:rsidRPr="00E57DA5">
        <w:rPr>
          <w:rFonts w:ascii="Times New Roman" w:hAnsi="Times New Roman" w:cs="Times New Roman"/>
          <w:bCs/>
          <w:color w:val="FF0000"/>
        </w:rPr>
        <w:t>dati personali o dell’amministrazione condominiale</w:t>
      </w:r>
      <w:r w:rsidRPr="00E57DA5">
        <w:rPr>
          <w:rFonts w:ascii="Times New Roman" w:hAnsi="Times New Roman" w:cs="Times New Roman"/>
          <w:bCs/>
          <w:color w:val="000000"/>
        </w:rPr>
        <w:t>) dichiara l’avvenuta installazione senza la dovuta informazione e autorizzazione, dei seguenti dispositivi ripetitori GSM (</w:t>
      </w:r>
      <w:r w:rsidRPr="00E57DA5">
        <w:rPr>
          <w:rFonts w:ascii="Times New Roman" w:hAnsi="Times New Roman" w:cs="Times New Roman"/>
          <w:bCs/>
          <w:color w:val="FF0000"/>
        </w:rPr>
        <w:t xml:space="preserve">specificare marca e tipo di prodotto, se in spazi privati, pubblici o pertinenze </w:t>
      </w:r>
      <w:proofErr w:type="spellStart"/>
      <w:r w:rsidRPr="00E57DA5">
        <w:rPr>
          <w:rFonts w:ascii="Times New Roman" w:hAnsi="Times New Roman" w:cs="Times New Roman"/>
          <w:bCs/>
          <w:color w:val="FF0000"/>
        </w:rPr>
        <w:t>condominali</w:t>
      </w:r>
      <w:proofErr w:type="spellEnd"/>
      <w:r w:rsidRPr="00E57DA5">
        <w:rPr>
          <w:rFonts w:ascii="Times New Roman" w:hAnsi="Times New Roman" w:cs="Times New Roman"/>
          <w:bCs/>
          <w:color w:val="000000"/>
        </w:rPr>
        <w:t>) installati da (</w:t>
      </w:r>
      <w:r w:rsidRPr="00E57DA5">
        <w:rPr>
          <w:rFonts w:ascii="Times New Roman" w:hAnsi="Times New Roman" w:cs="Times New Roman"/>
          <w:bCs/>
          <w:color w:val="FF0000"/>
        </w:rPr>
        <w:t>nome cognome e indirizzo di chi ha installato il ripetitore)</w:t>
      </w:r>
      <w:r w:rsidRPr="00E57DA5">
        <w:rPr>
          <w:rFonts w:ascii="Times New Roman" w:hAnsi="Times New Roman" w:cs="Times New Roman"/>
          <w:bCs/>
          <w:color w:val="000000"/>
        </w:rPr>
        <w:t>.</w:t>
      </w:r>
    </w:p>
    <w:p w:rsidR="00B57BF8" w:rsidRPr="00E57DA5" w:rsidRDefault="005530BE" w:rsidP="004563BC">
      <w:pPr>
        <w:pStyle w:val="Default"/>
        <w:spacing w:before="120" w:after="120" w:line="360" w:lineRule="auto"/>
        <w:jc w:val="both"/>
        <w:rPr>
          <w:sz w:val="22"/>
          <w:szCs w:val="22"/>
        </w:rPr>
      </w:pPr>
      <w:r w:rsidRPr="00E57DA5">
        <w:rPr>
          <w:sz w:val="22"/>
          <w:szCs w:val="22"/>
        </w:rPr>
        <w:t>Si premette che s</w:t>
      </w:r>
      <w:r w:rsidR="00EC04C8" w:rsidRPr="00E57DA5">
        <w:rPr>
          <w:sz w:val="22"/>
          <w:szCs w:val="22"/>
        </w:rPr>
        <w:t>ono i Comuni a disciplinare l’installazione di antenne e parabole individuali; i riferimenti legislativi sono la Legge 249 del 31 luglio 1997 “Istituzione dell’Autorità per le garanzie nelle comunicazioni e norme sui sistemi delle telecomunicazioni e radiotelevisivo” in cui si prescrive la necessità di un regolamento sull’installazione degli apparati di ricezione delle trasmissioni radiotelevisive satellitari nei centri storici al fine di garantire la salvaguardia degli aspetti paesaggistici</w:t>
      </w:r>
      <w:r w:rsidR="00B57BF8" w:rsidRPr="00E57DA5">
        <w:rPr>
          <w:sz w:val="22"/>
          <w:szCs w:val="22"/>
        </w:rPr>
        <w:t xml:space="preserve">. </w:t>
      </w:r>
    </w:p>
    <w:p w:rsidR="004563BC" w:rsidRDefault="004563BC" w:rsidP="004563BC">
      <w:pPr>
        <w:pStyle w:val="Default"/>
        <w:spacing w:before="120" w:after="120" w:line="360" w:lineRule="auto"/>
        <w:ind w:left="284"/>
        <w:jc w:val="both"/>
        <w:rPr>
          <w:color w:val="FF0000"/>
          <w:sz w:val="22"/>
          <w:szCs w:val="22"/>
        </w:rPr>
      </w:pPr>
    </w:p>
    <w:p w:rsidR="00B53264" w:rsidRPr="00E57DA5" w:rsidRDefault="00B0101F" w:rsidP="004563BC">
      <w:pPr>
        <w:pStyle w:val="Default"/>
        <w:spacing w:before="120" w:after="120" w:line="360" w:lineRule="auto"/>
        <w:ind w:left="284"/>
        <w:jc w:val="both"/>
        <w:rPr>
          <w:sz w:val="22"/>
          <w:szCs w:val="22"/>
        </w:rPr>
      </w:pPr>
      <w:r w:rsidRPr="00E57DA5">
        <w:rPr>
          <w:color w:val="FF0000"/>
          <w:sz w:val="22"/>
          <w:szCs w:val="22"/>
        </w:rPr>
        <w:t>Da aggiungere se la scheda di sicurezza non riporta il marchio CE</w:t>
      </w:r>
      <w:r w:rsidRPr="00E57DA5">
        <w:rPr>
          <w:sz w:val="22"/>
          <w:szCs w:val="22"/>
        </w:rPr>
        <w:t xml:space="preserve">: </w:t>
      </w:r>
    </w:p>
    <w:p w:rsidR="00B57BF8" w:rsidRPr="00E57DA5" w:rsidRDefault="00B57BF8" w:rsidP="004563BC">
      <w:pPr>
        <w:pStyle w:val="Default"/>
        <w:spacing w:before="120" w:after="120" w:line="360" w:lineRule="auto"/>
        <w:ind w:left="284"/>
        <w:jc w:val="both"/>
        <w:rPr>
          <w:color w:val="215868" w:themeColor="accent5" w:themeShade="80"/>
          <w:sz w:val="22"/>
          <w:szCs w:val="22"/>
        </w:rPr>
      </w:pPr>
      <w:r w:rsidRPr="00E57DA5">
        <w:rPr>
          <w:color w:val="215868" w:themeColor="accent5" w:themeShade="80"/>
          <w:sz w:val="22"/>
          <w:szCs w:val="22"/>
        </w:rPr>
        <w:t>Si pone all’attenzione dell’autorità pubblica che la certificazione dell’impianto resa disponibile al condominio (si veda allegato:</w:t>
      </w:r>
      <w:r w:rsidR="00B0101F" w:rsidRPr="00E57DA5">
        <w:rPr>
          <w:color w:val="215868" w:themeColor="accent5" w:themeShade="80"/>
          <w:sz w:val="22"/>
          <w:szCs w:val="22"/>
        </w:rPr>
        <w:t xml:space="preserve"> </w:t>
      </w:r>
      <w:r w:rsidR="00B0101F" w:rsidRPr="00E57DA5">
        <w:rPr>
          <w:color w:val="FF0000"/>
          <w:sz w:val="22"/>
          <w:szCs w:val="22"/>
        </w:rPr>
        <w:t>Scheda di sicurezza del prodotto</w:t>
      </w:r>
      <w:r w:rsidRPr="00E57DA5">
        <w:rPr>
          <w:sz w:val="22"/>
          <w:szCs w:val="22"/>
        </w:rPr>
        <w:t xml:space="preserve">) </w:t>
      </w:r>
      <w:r w:rsidRPr="00E57DA5">
        <w:rPr>
          <w:color w:val="215868" w:themeColor="accent5" w:themeShade="80"/>
          <w:sz w:val="22"/>
          <w:szCs w:val="22"/>
        </w:rPr>
        <w:t>in oggetto non è correlabile ad alcuna direttiva o regolamento UE di cui infatti manca il marchio di sicurezza</w:t>
      </w:r>
      <w:r w:rsidR="00B53264" w:rsidRPr="00E57DA5">
        <w:rPr>
          <w:color w:val="215868" w:themeColor="accent5" w:themeShade="80"/>
          <w:sz w:val="22"/>
          <w:szCs w:val="22"/>
        </w:rPr>
        <w:t xml:space="preserve"> CE</w:t>
      </w:r>
      <w:r w:rsidRPr="00E57DA5">
        <w:rPr>
          <w:color w:val="215868" w:themeColor="accent5" w:themeShade="80"/>
          <w:sz w:val="22"/>
          <w:szCs w:val="22"/>
        </w:rPr>
        <w:t xml:space="preserve"> o almeno non è stato attualmente messo a disposizione.</w:t>
      </w:r>
    </w:p>
    <w:p w:rsidR="00B0101F" w:rsidRPr="00E57DA5" w:rsidRDefault="00B0101F" w:rsidP="004563BC">
      <w:pPr>
        <w:pStyle w:val="Default"/>
        <w:spacing w:before="120" w:after="120" w:line="360" w:lineRule="auto"/>
        <w:ind w:left="284"/>
        <w:jc w:val="both"/>
        <w:rPr>
          <w:color w:val="215868" w:themeColor="accent5" w:themeShade="80"/>
          <w:sz w:val="22"/>
          <w:szCs w:val="22"/>
        </w:rPr>
      </w:pPr>
    </w:p>
    <w:p w:rsidR="00047B44" w:rsidRPr="00E57DA5" w:rsidRDefault="00B57BF8" w:rsidP="004563BC">
      <w:pPr>
        <w:pStyle w:val="Default"/>
        <w:spacing w:before="120" w:after="120" w:line="360" w:lineRule="auto"/>
        <w:jc w:val="both"/>
        <w:rPr>
          <w:sz w:val="22"/>
          <w:szCs w:val="22"/>
        </w:rPr>
      </w:pPr>
      <w:r w:rsidRPr="00E57DA5">
        <w:rPr>
          <w:sz w:val="22"/>
          <w:szCs w:val="22"/>
        </w:rPr>
        <w:t>I</w:t>
      </w:r>
      <w:r w:rsidR="00EC04C8" w:rsidRPr="00E57DA5">
        <w:rPr>
          <w:sz w:val="22"/>
          <w:szCs w:val="22"/>
        </w:rPr>
        <w:t>l DM 11/11/2005 “Regole tecniche relative agli impianti condominiali centralizzati d’antenna riceventi del servizio di radiodiffusione” obbliga l’installazione di impianti centralizzati realizzati in modo da ottimizzare la ricezione delle stazioni emittenti radiotelevisive ricevibili e annullare o minimizzare l’esigenza del ricorso ad antenne individuali.</w:t>
      </w:r>
    </w:p>
    <w:p w:rsidR="005530BE" w:rsidRPr="00E57DA5" w:rsidRDefault="005530BE" w:rsidP="004563BC">
      <w:pPr>
        <w:pStyle w:val="Default"/>
        <w:spacing w:before="120" w:after="120" w:line="360" w:lineRule="auto"/>
        <w:jc w:val="both"/>
        <w:rPr>
          <w:sz w:val="22"/>
          <w:szCs w:val="22"/>
        </w:rPr>
      </w:pPr>
      <w:r w:rsidRPr="00E57DA5">
        <w:rPr>
          <w:sz w:val="22"/>
          <w:szCs w:val="22"/>
        </w:rPr>
        <w:t>Ai sensi del regolamento edilizio</w:t>
      </w:r>
      <w:r w:rsidR="00B0101F" w:rsidRPr="00E57DA5">
        <w:rPr>
          <w:sz w:val="22"/>
          <w:szCs w:val="22"/>
        </w:rPr>
        <w:t xml:space="preserve"> (</w:t>
      </w:r>
      <w:r w:rsidR="00B0101F" w:rsidRPr="00E57DA5">
        <w:rPr>
          <w:color w:val="FF0000"/>
          <w:sz w:val="22"/>
          <w:szCs w:val="22"/>
        </w:rPr>
        <w:t>citare quello del proprio Comune</w:t>
      </w:r>
      <w:r w:rsidR="00B0101F" w:rsidRPr="00E57DA5">
        <w:rPr>
          <w:sz w:val="22"/>
          <w:szCs w:val="22"/>
        </w:rPr>
        <w:t>)</w:t>
      </w:r>
      <w:r w:rsidRPr="00E57DA5">
        <w:rPr>
          <w:sz w:val="22"/>
          <w:szCs w:val="22"/>
        </w:rPr>
        <w:t xml:space="preserve"> ogni impianto deve garantire la totale mancanza di interferenza in materia di microonde e emissioni elettromagnetiche. </w:t>
      </w:r>
    </w:p>
    <w:p w:rsidR="00EC04C8" w:rsidRPr="00E57DA5" w:rsidRDefault="00B57BF8" w:rsidP="004563BC">
      <w:pPr>
        <w:pStyle w:val="Default"/>
        <w:spacing w:before="120" w:after="120" w:line="360" w:lineRule="auto"/>
        <w:jc w:val="both"/>
        <w:rPr>
          <w:sz w:val="22"/>
          <w:szCs w:val="22"/>
        </w:rPr>
      </w:pPr>
      <w:r w:rsidRPr="00E57DA5">
        <w:rPr>
          <w:sz w:val="22"/>
          <w:szCs w:val="22"/>
        </w:rPr>
        <w:t>Dall</w:t>
      </w:r>
      <w:r w:rsidR="00B0101F" w:rsidRPr="00E57DA5">
        <w:rPr>
          <w:sz w:val="22"/>
          <w:szCs w:val="22"/>
        </w:rPr>
        <w:t>e</w:t>
      </w:r>
      <w:r w:rsidRPr="00E57DA5">
        <w:rPr>
          <w:sz w:val="22"/>
          <w:szCs w:val="22"/>
        </w:rPr>
        <w:t xml:space="preserve"> certificazion</w:t>
      </w:r>
      <w:r w:rsidR="00B0101F" w:rsidRPr="00E57DA5">
        <w:rPr>
          <w:sz w:val="22"/>
          <w:szCs w:val="22"/>
        </w:rPr>
        <w:t>i</w:t>
      </w:r>
      <w:r w:rsidRPr="00E57DA5">
        <w:rPr>
          <w:sz w:val="22"/>
          <w:szCs w:val="22"/>
        </w:rPr>
        <w:t xml:space="preserve"> del prodotto in oggetto</w:t>
      </w:r>
      <w:r w:rsidR="00B0101F" w:rsidRPr="00E57DA5">
        <w:rPr>
          <w:sz w:val="22"/>
          <w:szCs w:val="22"/>
        </w:rPr>
        <w:t xml:space="preserve"> (</w:t>
      </w:r>
      <w:r w:rsidR="00B0101F" w:rsidRPr="00E57DA5">
        <w:rPr>
          <w:color w:val="FF0000"/>
          <w:sz w:val="22"/>
          <w:szCs w:val="22"/>
        </w:rPr>
        <w:t>specificare marca e codice del prodotto</w:t>
      </w:r>
      <w:r w:rsidR="00B0101F" w:rsidRPr="00E57DA5">
        <w:rPr>
          <w:sz w:val="22"/>
          <w:szCs w:val="22"/>
        </w:rPr>
        <w:t>)</w:t>
      </w:r>
      <w:r w:rsidRPr="00E57DA5">
        <w:rPr>
          <w:sz w:val="22"/>
          <w:szCs w:val="22"/>
        </w:rPr>
        <w:t xml:space="preserve"> si rileva</w:t>
      </w:r>
      <w:r w:rsidR="00150B88" w:rsidRPr="00E57DA5">
        <w:rPr>
          <w:sz w:val="22"/>
          <w:szCs w:val="22"/>
        </w:rPr>
        <w:t>no le seguenti frequenze di uso</w:t>
      </w:r>
      <w:r w:rsidRPr="00E57DA5">
        <w:rPr>
          <w:sz w:val="22"/>
          <w:szCs w:val="22"/>
        </w:rPr>
        <w:t>:</w:t>
      </w:r>
    </w:p>
    <w:p w:rsidR="00B53264" w:rsidRPr="00E57DA5" w:rsidRDefault="00B53264" w:rsidP="004563BC">
      <w:pPr>
        <w:spacing w:before="120" w:after="120" w:line="360" w:lineRule="auto"/>
        <w:jc w:val="both"/>
        <w:rPr>
          <w:rFonts w:ascii="Times New Roman" w:hAnsi="Times New Roman" w:cs="Times New Roman"/>
          <w:color w:val="FF0000"/>
        </w:rPr>
      </w:pPr>
      <w:r w:rsidRPr="00E57DA5">
        <w:rPr>
          <w:rFonts w:ascii="Times New Roman" w:hAnsi="Times New Roman" w:cs="Times New Roman"/>
          <w:color w:val="FF0000"/>
        </w:rPr>
        <w:t>(inserire i dati della scheda di sicurezza del prodotto se differenti</w:t>
      </w:r>
      <w:r w:rsidRPr="00E57DA5">
        <w:rPr>
          <w:rStyle w:val="Rimandonotaapidipagina"/>
          <w:rFonts w:ascii="Times New Roman" w:hAnsi="Times New Roman" w:cs="Times New Roman"/>
          <w:color w:val="FF0000"/>
        </w:rPr>
        <w:footnoteReference w:id="1"/>
      </w:r>
      <w:r w:rsidRPr="00E57DA5">
        <w:rPr>
          <w:rFonts w:ascii="Times New Roman" w:hAnsi="Times New Roman" w:cs="Times New Roman"/>
          <w:color w:val="FF0000"/>
        </w:rPr>
        <w:t xml:space="preserve">)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b/>
          <w:bCs/>
          <w:color w:val="000000"/>
          <w:lang w:val="en-GB"/>
        </w:rPr>
        <w:t xml:space="preserve">Frequency Band(s):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lastRenderedPageBreak/>
        <w:t xml:space="preserve">GSM900: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Uplink:885MHz-915MHz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Downlink:930MHz-960MHz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DSC1800: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Uplink:1710MHz-1785MHz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Downlink:1805MHz-1880MHz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b/>
          <w:bCs/>
          <w:color w:val="000000"/>
          <w:lang w:val="en-GB"/>
        </w:rPr>
        <w:t xml:space="preserve">Transmit Power Range(s):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GSM900: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Uplink:13 </w:t>
      </w:r>
      <w:proofErr w:type="spellStart"/>
      <w:r w:rsidRPr="00E57DA5">
        <w:rPr>
          <w:rFonts w:ascii="Times New Roman" w:hAnsi="Times New Roman" w:cs="Times New Roman"/>
          <w:color w:val="000000"/>
          <w:lang w:val="en-GB"/>
        </w:rPr>
        <w:t>dBm</w:t>
      </w:r>
      <w:proofErr w:type="spellEnd"/>
      <w:r w:rsidRPr="00E57DA5">
        <w:rPr>
          <w:rFonts w:ascii="Times New Roman" w:hAnsi="Times New Roman" w:cs="Times New Roman"/>
          <w:color w:val="000000"/>
          <w:lang w:val="en-GB"/>
        </w:rPr>
        <w:t xml:space="preserve"> Downlink: 13 </w:t>
      </w:r>
      <w:proofErr w:type="spellStart"/>
      <w:r w:rsidRPr="00E57DA5">
        <w:rPr>
          <w:rFonts w:ascii="Times New Roman" w:hAnsi="Times New Roman" w:cs="Times New Roman"/>
          <w:color w:val="000000"/>
          <w:lang w:val="en-GB"/>
        </w:rPr>
        <w:t>dBm</w:t>
      </w:r>
      <w:proofErr w:type="spellEnd"/>
      <w:r w:rsidRPr="00E57DA5">
        <w:rPr>
          <w:rFonts w:ascii="Times New Roman" w:hAnsi="Times New Roman" w:cs="Times New Roman"/>
          <w:color w:val="000000"/>
          <w:lang w:val="en-GB"/>
        </w:rPr>
        <w:t xml:space="preserve"> </w:t>
      </w:r>
    </w:p>
    <w:p w:rsidR="00B57BF8" w:rsidRPr="00E57DA5" w:rsidRDefault="00B57BF8" w:rsidP="004563BC">
      <w:pPr>
        <w:autoSpaceDE w:val="0"/>
        <w:autoSpaceDN w:val="0"/>
        <w:adjustRightInd w:val="0"/>
        <w:spacing w:before="120" w:after="120" w:line="240" w:lineRule="auto"/>
        <w:ind w:left="567"/>
        <w:jc w:val="both"/>
        <w:rPr>
          <w:rFonts w:ascii="Times New Roman" w:hAnsi="Times New Roman" w:cs="Times New Roman"/>
          <w:color w:val="000000"/>
          <w:lang w:val="en-GB"/>
        </w:rPr>
      </w:pPr>
      <w:r w:rsidRPr="00E57DA5">
        <w:rPr>
          <w:rFonts w:ascii="Times New Roman" w:hAnsi="Times New Roman" w:cs="Times New Roman"/>
          <w:color w:val="000000"/>
          <w:lang w:val="en-GB"/>
        </w:rPr>
        <w:t xml:space="preserve">DCS1800: </w:t>
      </w:r>
    </w:p>
    <w:p w:rsidR="00B57BF8" w:rsidRPr="00E57DA5" w:rsidRDefault="00B57BF8" w:rsidP="004563BC">
      <w:pPr>
        <w:pStyle w:val="Default"/>
        <w:spacing w:before="120" w:after="120"/>
        <w:ind w:left="567"/>
        <w:jc w:val="both"/>
        <w:rPr>
          <w:sz w:val="22"/>
          <w:szCs w:val="22"/>
        </w:rPr>
      </w:pPr>
      <w:proofErr w:type="spellStart"/>
      <w:r w:rsidRPr="00E57DA5">
        <w:rPr>
          <w:sz w:val="22"/>
          <w:szCs w:val="22"/>
        </w:rPr>
        <w:t>Uplink</w:t>
      </w:r>
      <w:proofErr w:type="spellEnd"/>
      <w:r w:rsidRPr="00E57DA5">
        <w:rPr>
          <w:sz w:val="22"/>
          <w:szCs w:val="22"/>
        </w:rPr>
        <w:t xml:space="preserve">: 13 </w:t>
      </w:r>
      <w:proofErr w:type="spellStart"/>
      <w:r w:rsidRPr="00E57DA5">
        <w:rPr>
          <w:sz w:val="22"/>
          <w:szCs w:val="22"/>
        </w:rPr>
        <w:t>dBm</w:t>
      </w:r>
      <w:proofErr w:type="spellEnd"/>
      <w:r w:rsidRPr="00E57DA5">
        <w:rPr>
          <w:sz w:val="22"/>
          <w:szCs w:val="22"/>
        </w:rPr>
        <w:t xml:space="preserve"> </w:t>
      </w:r>
      <w:proofErr w:type="spellStart"/>
      <w:r w:rsidRPr="00E57DA5">
        <w:rPr>
          <w:sz w:val="22"/>
          <w:szCs w:val="22"/>
        </w:rPr>
        <w:t>Downlink</w:t>
      </w:r>
      <w:proofErr w:type="spellEnd"/>
      <w:r w:rsidRPr="00E57DA5">
        <w:rPr>
          <w:sz w:val="22"/>
          <w:szCs w:val="22"/>
        </w:rPr>
        <w:t>: 13dBm</w:t>
      </w:r>
    </w:p>
    <w:p w:rsidR="004563BC" w:rsidRDefault="004563BC" w:rsidP="004563BC">
      <w:pPr>
        <w:spacing w:before="120" w:after="120" w:line="360" w:lineRule="auto"/>
        <w:jc w:val="both"/>
        <w:rPr>
          <w:rFonts w:ascii="Times New Roman" w:hAnsi="Times New Roman" w:cs="Times New Roman"/>
        </w:rPr>
      </w:pPr>
    </w:p>
    <w:p w:rsidR="00150B88" w:rsidRPr="00E57DA5" w:rsidRDefault="00150B88"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Per le caratteristiche del sistema in oggetto risulta emettere onde in tali </w:t>
      </w:r>
      <w:proofErr w:type="spellStart"/>
      <w:r w:rsidRPr="00E57DA5">
        <w:rPr>
          <w:rFonts w:ascii="Times New Roman" w:hAnsi="Times New Roman" w:cs="Times New Roman"/>
        </w:rPr>
        <w:t>range</w:t>
      </w:r>
      <w:proofErr w:type="spellEnd"/>
      <w:r w:rsidRPr="00E57DA5">
        <w:rPr>
          <w:rFonts w:ascii="Times New Roman" w:hAnsi="Times New Roman" w:cs="Times New Roman"/>
        </w:rPr>
        <w:t xml:space="preserve"> di frequenza per un raggio di circa 300 metri all’intorno</w:t>
      </w:r>
      <w:r w:rsidR="00441DF3" w:rsidRPr="00E57DA5">
        <w:rPr>
          <w:rFonts w:ascii="Times New Roman" w:hAnsi="Times New Roman" w:cs="Times New Roman"/>
        </w:rPr>
        <w:t xml:space="preserve"> quindi</w:t>
      </w:r>
      <w:r w:rsidR="007939E8" w:rsidRPr="00E57DA5">
        <w:rPr>
          <w:rFonts w:ascii="Times New Roman" w:hAnsi="Times New Roman" w:cs="Times New Roman"/>
        </w:rPr>
        <w:t>,</w:t>
      </w:r>
      <w:r w:rsidR="00441DF3" w:rsidRPr="00E57DA5">
        <w:rPr>
          <w:rFonts w:ascii="Times New Roman" w:hAnsi="Times New Roman" w:cs="Times New Roman"/>
        </w:rPr>
        <w:t xml:space="preserve"> anche</w:t>
      </w:r>
      <w:r w:rsidR="007939E8" w:rsidRPr="00E57DA5">
        <w:rPr>
          <w:rFonts w:ascii="Times New Roman" w:hAnsi="Times New Roman" w:cs="Times New Roman"/>
        </w:rPr>
        <w:t xml:space="preserve"> spazi non limitati a</w:t>
      </w:r>
      <w:r w:rsidR="00441DF3" w:rsidRPr="00E57DA5">
        <w:rPr>
          <w:rFonts w:ascii="Times New Roman" w:hAnsi="Times New Roman" w:cs="Times New Roman"/>
        </w:rPr>
        <w:t>ll’ambito privato che ha inteso procedere all’installazione</w:t>
      </w:r>
      <w:r w:rsidR="007939E8" w:rsidRPr="00E57DA5">
        <w:rPr>
          <w:rFonts w:ascii="Times New Roman" w:hAnsi="Times New Roman" w:cs="Times New Roman"/>
        </w:rPr>
        <w:t xml:space="preserve"> ma coinvolgente altri condomini</w:t>
      </w:r>
      <w:r w:rsidRPr="00E57DA5">
        <w:rPr>
          <w:rFonts w:ascii="Times New Roman" w:hAnsi="Times New Roman" w:cs="Times New Roman"/>
        </w:rPr>
        <w:t>.</w:t>
      </w:r>
    </w:p>
    <w:p w:rsidR="0039244A" w:rsidRPr="00E57DA5" w:rsidRDefault="0039244A"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Le frequenze indicate rientrano nel </w:t>
      </w:r>
      <w:proofErr w:type="spellStart"/>
      <w:r w:rsidRPr="00E57DA5">
        <w:rPr>
          <w:rFonts w:ascii="Times New Roman" w:hAnsi="Times New Roman" w:cs="Times New Roman"/>
        </w:rPr>
        <w:t>range</w:t>
      </w:r>
      <w:proofErr w:type="spellEnd"/>
      <w:r w:rsidRPr="00E57DA5">
        <w:rPr>
          <w:rFonts w:ascii="Times New Roman" w:hAnsi="Times New Roman" w:cs="Times New Roman"/>
        </w:rPr>
        <w:t xml:space="preserve"> </w:t>
      </w:r>
      <w:r w:rsidR="00B0101F" w:rsidRPr="00E57DA5">
        <w:rPr>
          <w:rFonts w:ascii="Times New Roman" w:hAnsi="Times New Roman" w:cs="Times New Roman"/>
        </w:rPr>
        <w:t>per il quale,</w:t>
      </w:r>
      <w:r w:rsidRPr="00E57DA5">
        <w:rPr>
          <w:rFonts w:ascii="Times New Roman" w:hAnsi="Times New Roman" w:cs="Times New Roman"/>
        </w:rPr>
        <w:t xml:space="preserve"> in presenza di esposizione eccessiva</w:t>
      </w:r>
      <w:r w:rsidR="00B0101F" w:rsidRPr="00E57DA5">
        <w:rPr>
          <w:rFonts w:ascii="Times New Roman" w:hAnsi="Times New Roman" w:cs="Times New Roman"/>
        </w:rPr>
        <w:t>,</w:t>
      </w:r>
      <w:r w:rsidRPr="00E57DA5">
        <w:rPr>
          <w:rFonts w:ascii="Times New Roman" w:hAnsi="Times New Roman" w:cs="Times New Roman"/>
        </w:rPr>
        <w:t xml:space="preserve"> si possono determinare danni a cose o persone.</w:t>
      </w:r>
    </w:p>
    <w:p w:rsidR="0041499E" w:rsidRPr="00E57DA5" w:rsidRDefault="0041499E" w:rsidP="004563BC">
      <w:pPr>
        <w:spacing w:before="120" w:after="120"/>
        <w:jc w:val="both"/>
        <w:rPr>
          <w:rFonts w:ascii="Times New Roman" w:hAnsi="Times New Roman" w:cs="Times New Roman"/>
          <w:b/>
        </w:rPr>
      </w:pPr>
      <w:r w:rsidRPr="00E57DA5">
        <w:rPr>
          <w:rFonts w:ascii="Times New Roman" w:hAnsi="Times New Roman" w:cs="Times New Roman"/>
          <w:b/>
        </w:rPr>
        <w:t>Potenziali effetti sulla salute della Banda E-GSM-900</w:t>
      </w:r>
      <w:r w:rsidRPr="00E57DA5">
        <w:rPr>
          <w:rStyle w:val="Rimandonotaapidipagina"/>
          <w:rFonts w:ascii="Times New Roman" w:hAnsi="Times New Roman" w:cs="Times New Roman"/>
          <w:b/>
        </w:rPr>
        <w:footnoteReference w:id="2"/>
      </w:r>
      <w:r w:rsidRPr="00E57DA5">
        <w:rPr>
          <w:rFonts w:ascii="Times New Roman" w:hAnsi="Times New Roman" w:cs="Times New Roman"/>
          <w:b/>
        </w:rPr>
        <w:t xml:space="preserve"> (</w:t>
      </w:r>
      <w:r w:rsidRPr="00E57DA5">
        <w:rPr>
          <w:rFonts w:ascii="Times New Roman" w:hAnsi="Times New Roman" w:cs="Times New Roman"/>
        </w:rPr>
        <w:t>)</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Benessere e funzione cognitiva influenzati negativamente negli esseri umani esposti a 900-2100 MHz, 0.000064 - 0.000078 W/Kg (TNO </w:t>
      </w:r>
      <w:proofErr w:type="spellStart"/>
      <w:r w:rsidRPr="00E57DA5">
        <w:rPr>
          <w:rFonts w:ascii="Times New Roman" w:hAnsi="Times New Roman" w:cs="Times New Roman"/>
        </w:rPr>
        <w:t>Physics</w:t>
      </w:r>
      <w:proofErr w:type="spellEnd"/>
      <w:r w:rsidRPr="00E57DA5">
        <w:rPr>
          <w:rFonts w:ascii="Times New Roman" w:hAnsi="Times New Roman" w:cs="Times New Roman"/>
        </w:rPr>
        <w:t xml:space="preserve"> and </w:t>
      </w:r>
      <w:proofErr w:type="spellStart"/>
      <w:r w:rsidRPr="00E57DA5">
        <w:rPr>
          <w:rFonts w:ascii="Times New Roman" w:hAnsi="Times New Roman" w:cs="Times New Roman"/>
        </w:rPr>
        <w:t>Electronics</w:t>
      </w:r>
      <w:proofErr w:type="spellEnd"/>
      <w:r w:rsidRPr="00E57DA5">
        <w:rPr>
          <w:rFonts w:ascii="Times New Roman" w:hAnsi="Times New Roman" w:cs="Times New Roman"/>
        </w:rPr>
        <w:t xml:space="preserve"> </w:t>
      </w:r>
      <w:proofErr w:type="spellStart"/>
      <w:r w:rsidRPr="00E57DA5">
        <w:rPr>
          <w:rFonts w:ascii="Times New Roman" w:hAnsi="Times New Roman" w:cs="Times New Roman"/>
        </w:rPr>
        <w:t>Laboratory</w:t>
      </w:r>
      <w:proofErr w:type="spellEnd"/>
      <w:r w:rsidRPr="00E57DA5">
        <w:rPr>
          <w:rFonts w:ascii="Times New Roman" w:hAnsi="Times New Roman" w:cs="Times New Roman"/>
        </w:rPr>
        <w:t xml:space="preserve">, 2003). </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Frequenza a 915 MHz, SAR 0.004 - 0.008 W/Kg causa una perdita patologica della barriera </w:t>
      </w:r>
      <w:proofErr w:type="spellStart"/>
      <w:r w:rsidRPr="00E57DA5">
        <w:rPr>
          <w:rFonts w:ascii="Times New Roman" w:hAnsi="Times New Roman" w:cs="Times New Roman"/>
        </w:rPr>
        <w:t>emato</w:t>
      </w:r>
      <w:proofErr w:type="spellEnd"/>
      <w:r w:rsidRPr="00E57DA5">
        <w:rPr>
          <w:rFonts w:ascii="Times New Roman" w:hAnsi="Times New Roman" w:cs="Times New Roman"/>
        </w:rPr>
        <w:t>-encefalica (</w:t>
      </w:r>
      <w:proofErr w:type="spellStart"/>
      <w:r w:rsidRPr="00E57DA5">
        <w:rPr>
          <w:rFonts w:ascii="Times New Roman" w:hAnsi="Times New Roman" w:cs="Times New Roman"/>
        </w:rPr>
        <w:t>Persson</w:t>
      </w:r>
      <w:proofErr w:type="spellEnd"/>
      <w:r w:rsidRPr="00E57DA5">
        <w:rPr>
          <w:rFonts w:ascii="Times New Roman" w:hAnsi="Times New Roman" w:cs="Times New Roman"/>
        </w:rPr>
        <w:t xml:space="preserve"> et al., 1997). </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Significativo aumento della frequenza di scarica dei neuroni (350%) con l'esposizione alle radiazioni a 900 MHz, SAR 0.05 W/Kg nelle cellule cerebrali avicole (</w:t>
      </w:r>
      <w:proofErr w:type="spellStart"/>
      <w:r w:rsidRPr="00E57DA5">
        <w:rPr>
          <w:rFonts w:ascii="Times New Roman" w:hAnsi="Times New Roman" w:cs="Times New Roman"/>
        </w:rPr>
        <w:t>Beason</w:t>
      </w:r>
      <w:proofErr w:type="spellEnd"/>
      <w:r w:rsidRPr="00E57DA5">
        <w:rPr>
          <w:rFonts w:ascii="Times New Roman" w:hAnsi="Times New Roman" w:cs="Times New Roman"/>
        </w:rPr>
        <w:t xml:space="preserve"> &amp; </w:t>
      </w:r>
      <w:proofErr w:type="spellStart"/>
      <w:r w:rsidRPr="00E57DA5">
        <w:rPr>
          <w:rFonts w:ascii="Times New Roman" w:hAnsi="Times New Roman" w:cs="Times New Roman"/>
        </w:rPr>
        <w:t>Semm</w:t>
      </w:r>
      <w:proofErr w:type="spellEnd"/>
      <w:r w:rsidRPr="00E57DA5">
        <w:rPr>
          <w:rFonts w:ascii="Times New Roman" w:hAnsi="Times New Roman" w:cs="Times New Roman"/>
        </w:rPr>
        <w:t>, 2002).</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Danno del DNA mitocondriale e danno ossidativo nelle cellule HL-60 esposte a 900 MHz, 120 </w:t>
      </w:r>
      <w:proofErr w:type="spellStart"/>
      <w:r w:rsidRPr="00E57DA5">
        <w:rPr>
          <w:rFonts w:ascii="Times New Roman" w:hAnsi="Times New Roman" w:cs="Times New Roman"/>
        </w:rPr>
        <w:t>uW</w:t>
      </w:r>
      <w:proofErr w:type="spellEnd"/>
      <w:r w:rsidRPr="00E57DA5">
        <w:rPr>
          <w:rFonts w:ascii="Times New Roman" w:hAnsi="Times New Roman" w:cs="Times New Roman"/>
        </w:rPr>
        <w:t>/cm2.per 4 ore al giorno per 5 giorni.(Sun et al., 2017).</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Gli embrioni di topo sviluppano ossa craniche in utero fragili se esposti a una frequenza di 900 MHz, SAR 0.6 - 0.9 W/Kg. anche un'esposizione modesta (ad es. 6 minuti al giorno per 21 giorni) è sufficiente per interferire con il normale processo di sviluppo dei topi (</w:t>
      </w:r>
      <w:proofErr w:type="spellStart"/>
      <w:r w:rsidRPr="00E57DA5">
        <w:rPr>
          <w:rFonts w:ascii="Times New Roman" w:hAnsi="Times New Roman" w:cs="Times New Roman"/>
        </w:rPr>
        <w:t>Fragopoulou</w:t>
      </w:r>
      <w:proofErr w:type="spellEnd"/>
      <w:r w:rsidRPr="00E57DA5">
        <w:rPr>
          <w:rFonts w:ascii="Times New Roman" w:hAnsi="Times New Roman" w:cs="Times New Roman"/>
        </w:rPr>
        <w:t xml:space="preserve"> et al., 2009).</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A densità di potenza di 0.0006 - 0.0128 </w:t>
      </w:r>
      <w:proofErr w:type="spellStart"/>
      <w:r w:rsidRPr="00E57DA5">
        <w:rPr>
          <w:rFonts w:ascii="Times New Roman" w:hAnsi="Times New Roman" w:cs="Times New Roman"/>
        </w:rPr>
        <w:t>uW</w:t>
      </w:r>
      <w:proofErr w:type="spellEnd"/>
      <w:r w:rsidRPr="00E57DA5">
        <w:rPr>
          <w:rFonts w:ascii="Times New Roman" w:hAnsi="Times New Roman" w:cs="Times New Roman"/>
        </w:rPr>
        <w:t>/cm2 ed esposizioni a livello di stazione base registrati affaticamento, tendenza depressiva, disturbi del sonno, difficoltà di concentrazione, problemi cardio-vascolari segnalati con esposizione (</w:t>
      </w:r>
      <w:proofErr w:type="spellStart"/>
      <w:r w:rsidRPr="00E57DA5">
        <w:rPr>
          <w:rFonts w:ascii="Times New Roman" w:hAnsi="Times New Roman" w:cs="Times New Roman"/>
        </w:rPr>
        <w:t>Oberfeld</w:t>
      </w:r>
      <w:proofErr w:type="spellEnd"/>
      <w:r w:rsidRPr="00E57DA5">
        <w:rPr>
          <w:rFonts w:ascii="Times New Roman" w:hAnsi="Times New Roman" w:cs="Times New Roman"/>
        </w:rPr>
        <w:t xml:space="preserve"> et al., 2004).</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lastRenderedPageBreak/>
        <w:t xml:space="preserve">Frequenze di 915 MHz, SAR 0.004 - 0.008 W/Kg causano una perdita patologica della barriera </w:t>
      </w:r>
      <w:proofErr w:type="spellStart"/>
      <w:r w:rsidRPr="00E57DA5">
        <w:rPr>
          <w:rFonts w:ascii="Times New Roman" w:hAnsi="Times New Roman" w:cs="Times New Roman"/>
        </w:rPr>
        <w:t>emato</w:t>
      </w:r>
      <w:proofErr w:type="spellEnd"/>
      <w:r w:rsidRPr="00E57DA5">
        <w:rPr>
          <w:rFonts w:ascii="Times New Roman" w:hAnsi="Times New Roman" w:cs="Times New Roman"/>
        </w:rPr>
        <w:t>-encefalica (</w:t>
      </w:r>
      <w:proofErr w:type="spellStart"/>
      <w:r w:rsidRPr="00E57DA5">
        <w:rPr>
          <w:rFonts w:ascii="Times New Roman" w:hAnsi="Times New Roman" w:cs="Times New Roman"/>
        </w:rPr>
        <w:t>Persson</w:t>
      </w:r>
      <w:proofErr w:type="spellEnd"/>
      <w:r w:rsidRPr="00E57DA5">
        <w:rPr>
          <w:rFonts w:ascii="Times New Roman" w:hAnsi="Times New Roman" w:cs="Times New Roman"/>
        </w:rPr>
        <w:t xml:space="preserve"> et al., 1997). </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Inibizione di foci a 915 MHz (GSM) su linfociti umani da donatori normali e ipersensibili (</w:t>
      </w:r>
      <w:proofErr w:type="spellStart"/>
      <w:r w:rsidRPr="00E57DA5">
        <w:rPr>
          <w:rFonts w:ascii="Times New Roman" w:hAnsi="Times New Roman" w:cs="Times New Roman"/>
        </w:rPr>
        <w:t>Belyaev</w:t>
      </w:r>
      <w:proofErr w:type="spellEnd"/>
      <w:r w:rsidRPr="00E57DA5">
        <w:rPr>
          <w:rFonts w:ascii="Times New Roman" w:hAnsi="Times New Roman" w:cs="Times New Roman"/>
        </w:rPr>
        <w:t xml:space="preserve"> et al., 2009).</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20 minuti di GSM a 960 </w:t>
      </w:r>
      <w:proofErr w:type="spellStart"/>
      <w:r w:rsidRPr="00E57DA5">
        <w:rPr>
          <w:rFonts w:ascii="Times New Roman" w:hAnsi="Times New Roman" w:cs="Times New Roman"/>
        </w:rPr>
        <w:t>Mhz</w:t>
      </w:r>
      <w:proofErr w:type="spellEnd"/>
      <w:r w:rsidRPr="00E57DA5">
        <w:rPr>
          <w:rFonts w:ascii="Times New Roman" w:hAnsi="Times New Roman" w:cs="Times New Roman"/>
        </w:rPr>
        <w:t xml:space="preserve"> a SAR 2.1 </w:t>
      </w:r>
      <w:proofErr w:type="spellStart"/>
      <w:r w:rsidRPr="00E57DA5">
        <w:rPr>
          <w:rFonts w:ascii="Times New Roman" w:hAnsi="Times New Roman" w:cs="Times New Roman"/>
        </w:rPr>
        <w:t>mW</w:t>
      </w:r>
      <w:proofErr w:type="spellEnd"/>
      <w:r w:rsidRPr="00E57DA5">
        <w:rPr>
          <w:rFonts w:ascii="Times New Roman" w:hAnsi="Times New Roman" w:cs="Times New Roman"/>
        </w:rPr>
        <w:t xml:space="preserve">/kg e densità di potenza 5.25 </w:t>
      </w:r>
      <w:proofErr w:type="spellStart"/>
      <w:r w:rsidRPr="00E57DA5">
        <w:rPr>
          <w:rFonts w:ascii="Times New Roman" w:hAnsi="Times New Roman" w:cs="Times New Roman"/>
        </w:rPr>
        <w:t>uW</w:t>
      </w:r>
      <w:proofErr w:type="spellEnd"/>
      <w:r w:rsidRPr="00E57DA5">
        <w:rPr>
          <w:rFonts w:ascii="Times New Roman" w:hAnsi="Times New Roman" w:cs="Times New Roman"/>
        </w:rPr>
        <w:t>/cm2 inducono risposte cellulari allo stress (</w:t>
      </w:r>
      <w:proofErr w:type="spellStart"/>
      <w:r w:rsidRPr="00E57DA5">
        <w:rPr>
          <w:rFonts w:ascii="Times New Roman" w:hAnsi="Times New Roman" w:cs="Times New Roman"/>
        </w:rPr>
        <w:t>Kwee</w:t>
      </w:r>
      <w:proofErr w:type="spellEnd"/>
      <w:r w:rsidRPr="00E57DA5">
        <w:rPr>
          <w:rFonts w:ascii="Times New Roman" w:hAnsi="Times New Roman" w:cs="Times New Roman"/>
        </w:rPr>
        <w:t xml:space="preserve"> et al., 2001):</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Benessere e funzione cognitiva influenzati negativamente negli esseri umani esposti a 900-2100 MHz, 0.000064 - 0.000078 W/Kg (TNO </w:t>
      </w:r>
      <w:proofErr w:type="spellStart"/>
      <w:r w:rsidRPr="00E57DA5">
        <w:rPr>
          <w:rFonts w:ascii="Times New Roman" w:hAnsi="Times New Roman" w:cs="Times New Roman"/>
        </w:rPr>
        <w:t>Physics</w:t>
      </w:r>
      <w:proofErr w:type="spellEnd"/>
      <w:r w:rsidRPr="00E57DA5">
        <w:rPr>
          <w:rFonts w:ascii="Times New Roman" w:hAnsi="Times New Roman" w:cs="Times New Roman"/>
        </w:rPr>
        <w:t xml:space="preserve"> and </w:t>
      </w:r>
      <w:proofErr w:type="spellStart"/>
      <w:r w:rsidRPr="00E57DA5">
        <w:rPr>
          <w:rFonts w:ascii="Times New Roman" w:hAnsi="Times New Roman" w:cs="Times New Roman"/>
        </w:rPr>
        <w:t>Electronics</w:t>
      </w:r>
      <w:proofErr w:type="spellEnd"/>
      <w:r w:rsidRPr="00E57DA5">
        <w:rPr>
          <w:rFonts w:ascii="Times New Roman" w:hAnsi="Times New Roman" w:cs="Times New Roman"/>
        </w:rPr>
        <w:t xml:space="preserve"> </w:t>
      </w:r>
      <w:proofErr w:type="spellStart"/>
      <w:r w:rsidRPr="00E57DA5">
        <w:rPr>
          <w:rFonts w:ascii="Times New Roman" w:hAnsi="Times New Roman" w:cs="Times New Roman"/>
        </w:rPr>
        <w:t>Laboratory</w:t>
      </w:r>
      <w:proofErr w:type="spellEnd"/>
      <w:r w:rsidRPr="00E57DA5">
        <w:rPr>
          <w:rFonts w:ascii="Times New Roman" w:hAnsi="Times New Roman" w:cs="Times New Roman"/>
        </w:rPr>
        <w:t>, 2003).</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A densità di potenza di 0.0006 - 0.0128 </w:t>
      </w:r>
      <w:proofErr w:type="spellStart"/>
      <w:r w:rsidRPr="00E57DA5">
        <w:rPr>
          <w:rFonts w:ascii="Times New Roman" w:hAnsi="Times New Roman" w:cs="Times New Roman"/>
        </w:rPr>
        <w:t>uW</w:t>
      </w:r>
      <w:proofErr w:type="spellEnd"/>
      <w:r w:rsidRPr="00E57DA5">
        <w:rPr>
          <w:rFonts w:ascii="Times New Roman" w:hAnsi="Times New Roman" w:cs="Times New Roman"/>
        </w:rPr>
        <w:t>/cm2 ed esposizioni a livello di stazione base registrati affaticamento, tendenza depressiva, disturbi del sonno, difficoltà di concentrazione, problemi cardio-vascolari segnalati con esposizione (</w:t>
      </w:r>
      <w:proofErr w:type="spellStart"/>
      <w:r w:rsidRPr="00E57DA5">
        <w:rPr>
          <w:rFonts w:ascii="Times New Roman" w:hAnsi="Times New Roman" w:cs="Times New Roman"/>
        </w:rPr>
        <w:t>Oberfeld</w:t>
      </w:r>
      <w:proofErr w:type="spellEnd"/>
      <w:r w:rsidRPr="00E57DA5">
        <w:rPr>
          <w:rFonts w:ascii="Times New Roman" w:hAnsi="Times New Roman" w:cs="Times New Roman"/>
        </w:rPr>
        <w:t xml:space="preserve"> et al., 2004).</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L’esposizione alla Frequenza di 1800 Hz SAR US: 1,10 W/kg (testa) 0,47 W/kg corpo (cellulare) per 50 minuti in 24 ore ha effetti citotossici e teratogeni sull'embrione di pollo in via di sviluppo (</w:t>
      </w:r>
      <w:proofErr w:type="spellStart"/>
      <w:r w:rsidRPr="00E57DA5">
        <w:rPr>
          <w:rFonts w:ascii="Times New Roman" w:hAnsi="Times New Roman" w:cs="Times New Roman"/>
        </w:rPr>
        <w:t>Siddiqi</w:t>
      </w:r>
      <w:proofErr w:type="spellEnd"/>
      <w:r w:rsidRPr="00E57DA5">
        <w:rPr>
          <w:rFonts w:ascii="Times New Roman" w:hAnsi="Times New Roman" w:cs="Times New Roman"/>
        </w:rPr>
        <w:t>, 2015).</w:t>
      </w:r>
    </w:p>
    <w:p w:rsidR="0039244A"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L’esposizione a 1800 MHz, </w:t>
      </w:r>
      <w:proofErr w:type="spellStart"/>
      <w:r w:rsidRPr="00E57DA5">
        <w:rPr>
          <w:rFonts w:ascii="Times New Roman" w:hAnsi="Times New Roman" w:cs="Times New Roman"/>
        </w:rPr>
        <w:t>Sar</w:t>
      </w:r>
      <w:proofErr w:type="spellEnd"/>
      <w:r w:rsidRPr="00E57DA5">
        <w:rPr>
          <w:rFonts w:ascii="Times New Roman" w:hAnsi="Times New Roman" w:cs="Times New Roman"/>
        </w:rPr>
        <w:t>=0.4 W/Kg, per 1 ora al giorno per 3 settimane causa un aumento del livello di ossidazione proteica (</w:t>
      </w:r>
      <w:proofErr w:type="spellStart"/>
      <w:r w:rsidRPr="00E57DA5">
        <w:rPr>
          <w:rFonts w:ascii="Times New Roman" w:hAnsi="Times New Roman" w:cs="Times New Roman"/>
        </w:rPr>
        <w:t>Avci</w:t>
      </w:r>
      <w:proofErr w:type="spellEnd"/>
      <w:r w:rsidRPr="00E57DA5">
        <w:rPr>
          <w:rFonts w:ascii="Times New Roman" w:hAnsi="Times New Roman" w:cs="Times New Roman"/>
        </w:rPr>
        <w:t xml:space="preserve"> et al., 2012).</w:t>
      </w:r>
    </w:p>
    <w:p w:rsidR="0041499E" w:rsidRPr="00E57DA5" w:rsidRDefault="0041499E" w:rsidP="004563BC">
      <w:pPr>
        <w:spacing w:before="120" w:after="120"/>
        <w:jc w:val="both"/>
        <w:rPr>
          <w:rFonts w:ascii="Times New Roman" w:hAnsi="Times New Roman" w:cs="Times New Roman"/>
          <w:b/>
        </w:rPr>
      </w:pPr>
      <w:r w:rsidRPr="00E57DA5">
        <w:rPr>
          <w:rFonts w:ascii="Times New Roman" w:hAnsi="Times New Roman" w:cs="Times New Roman"/>
          <w:b/>
        </w:rPr>
        <w:t>Potenziali effetti sulla salute della Banda DCS-1800</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Benessere e funzione cognitiva influenzati negativamente negli esseri umani esposti a 900-2100 MHz, 0.000064 - 0.000078 W/Kg (TNO </w:t>
      </w:r>
      <w:proofErr w:type="spellStart"/>
      <w:r w:rsidRPr="00E57DA5">
        <w:rPr>
          <w:rFonts w:ascii="Times New Roman" w:hAnsi="Times New Roman" w:cs="Times New Roman"/>
        </w:rPr>
        <w:t>Physics</w:t>
      </w:r>
      <w:proofErr w:type="spellEnd"/>
      <w:r w:rsidRPr="00E57DA5">
        <w:rPr>
          <w:rFonts w:ascii="Times New Roman" w:hAnsi="Times New Roman" w:cs="Times New Roman"/>
        </w:rPr>
        <w:t xml:space="preserve"> and </w:t>
      </w:r>
      <w:proofErr w:type="spellStart"/>
      <w:r w:rsidRPr="00E57DA5">
        <w:rPr>
          <w:rFonts w:ascii="Times New Roman" w:hAnsi="Times New Roman" w:cs="Times New Roman"/>
        </w:rPr>
        <w:t>Electronics</w:t>
      </w:r>
      <w:proofErr w:type="spellEnd"/>
      <w:r w:rsidRPr="00E57DA5">
        <w:rPr>
          <w:rFonts w:ascii="Times New Roman" w:hAnsi="Times New Roman" w:cs="Times New Roman"/>
        </w:rPr>
        <w:t xml:space="preserve"> </w:t>
      </w:r>
      <w:proofErr w:type="spellStart"/>
      <w:r w:rsidRPr="00E57DA5">
        <w:rPr>
          <w:rFonts w:ascii="Times New Roman" w:hAnsi="Times New Roman" w:cs="Times New Roman"/>
        </w:rPr>
        <w:t>Laboratory</w:t>
      </w:r>
      <w:proofErr w:type="spellEnd"/>
      <w:r w:rsidRPr="00E57DA5">
        <w:rPr>
          <w:rFonts w:ascii="Times New Roman" w:hAnsi="Times New Roman" w:cs="Times New Roman"/>
        </w:rPr>
        <w:t>, 2003).</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A densità di potenza di 0.0006 - 0.0128 </w:t>
      </w:r>
      <w:proofErr w:type="spellStart"/>
      <w:r w:rsidRPr="00E57DA5">
        <w:rPr>
          <w:rFonts w:ascii="Times New Roman" w:hAnsi="Times New Roman" w:cs="Times New Roman"/>
        </w:rPr>
        <w:t>uW</w:t>
      </w:r>
      <w:proofErr w:type="spellEnd"/>
      <w:r w:rsidRPr="00E57DA5">
        <w:rPr>
          <w:rFonts w:ascii="Times New Roman" w:hAnsi="Times New Roman" w:cs="Times New Roman"/>
        </w:rPr>
        <w:t>/cm2 ed esposizioni a livello di stazione base registrati affaticamento, tendenza depressiva, disturbi del sonno, difficoltà di concentrazione, problemi cardio-vascolari segnalati con esposizione (</w:t>
      </w:r>
      <w:proofErr w:type="spellStart"/>
      <w:r w:rsidRPr="00E57DA5">
        <w:rPr>
          <w:rFonts w:ascii="Times New Roman" w:hAnsi="Times New Roman" w:cs="Times New Roman"/>
        </w:rPr>
        <w:t>Oberfeld</w:t>
      </w:r>
      <w:proofErr w:type="spellEnd"/>
      <w:r w:rsidRPr="00E57DA5">
        <w:rPr>
          <w:rFonts w:ascii="Times New Roman" w:hAnsi="Times New Roman" w:cs="Times New Roman"/>
        </w:rPr>
        <w:t xml:space="preserve"> et al., 2004).</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L’esposizione alla Frequenza di 1800 Hz SAR US: 1,10 W/kg (testa) 0,47 W/kg corpo (cellulare) per 50 minuti in 24 ore ha effetti citotossici e teratogeni sull'embrione di pollo in via di sviluppo (</w:t>
      </w:r>
      <w:proofErr w:type="spellStart"/>
      <w:r w:rsidRPr="00E57DA5">
        <w:rPr>
          <w:rFonts w:ascii="Times New Roman" w:hAnsi="Times New Roman" w:cs="Times New Roman"/>
        </w:rPr>
        <w:t>Siddiqi</w:t>
      </w:r>
      <w:proofErr w:type="spellEnd"/>
      <w:r w:rsidRPr="00E57DA5">
        <w:rPr>
          <w:rFonts w:ascii="Times New Roman" w:hAnsi="Times New Roman" w:cs="Times New Roman"/>
        </w:rPr>
        <w:t>, 2015).</w:t>
      </w:r>
    </w:p>
    <w:p w:rsidR="0041499E" w:rsidRPr="00E57DA5" w:rsidRDefault="0041499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L’esposizione a 1800 MHz, </w:t>
      </w:r>
      <w:proofErr w:type="spellStart"/>
      <w:r w:rsidRPr="00E57DA5">
        <w:rPr>
          <w:rFonts w:ascii="Times New Roman" w:hAnsi="Times New Roman" w:cs="Times New Roman"/>
        </w:rPr>
        <w:t>Sar</w:t>
      </w:r>
      <w:proofErr w:type="spellEnd"/>
      <w:r w:rsidRPr="00E57DA5">
        <w:rPr>
          <w:rFonts w:ascii="Times New Roman" w:hAnsi="Times New Roman" w:cs="Times New Roman"/>
        </w:rPr>
        <w:t>=0.4 W/Kg, per 1 ora al giorno per 3 settimane causa un aumento del livello di ossidazione proteica (</w:t>
      </w:r>
      <w:proofErr w:type="spellStart"/>
      <w:r w:rsidRPr="00E57DA5">
        <w:rPr>
          <w:rFonts w:ascii="Times New Roman" w:hAnsi="Times New Roman" w:cs="Times New Roman"/>
        </w:rPr>
        <w:t>Avci</w:t>
      </w:r>
      <w:proofErr w:type="spellEnd"/>
      <w:r w:rsidRPr="00E57DA5">
        <w:rPr>
          <w:rFonts w:ascii="Times New Roman" w:hAnsi="Times New Roman" w:cs="Times New Roman"/>
        </w:rPr>
        <w:t xml:space="preserve"> et al., 2012).</w:t>
      </w:r>
    </w:p>
    <w:p w:rsidR="00441DF3" w:rsidRPr="00E57DA5" w:rsidRDefault="007939E8" w:rsidP="004563BC">
      <w:pPr>
        <w:spacing w:before="120" w:after="120" w:line="360" w:lineRule="auto"/>
        <w:jc w:val="both"/>
        <w:rPr>
          <w:rFonts w:ascii="Times New Roman" w:hAnsi="Times New Roman" w:cs="Times New Roman"/>
        </w:rPr>
      </w:pPr>
      <w:r w:rsidRPr="00E57DA5">
        <w:rPr>
          <w:rFonts w:ascii="Times New Roman" w:hAnsi="Times New Roman" w:cs="Times New Roman"/>
        </w:rPr>
        <w:t>I</w:t>
      </w:r>
      <w:r w:rsidR="00441DF3" w:rsidRPr="00E57DA5">
        <w:rPr>
          <w:rFonts w:ascii="Times New Roman" w:hAnsi="Times New Roman" w:cs="Times New Roman"/>
        </w:rPr>
        <w:t xml:space="preserve"> rischi per la salute dovuti a</w:t>
      </w:r>
      <w:r w:rsidR="0039244A" w:rsidRPr="00E57DA5">
        <w:rPr>
          <w:rFonts w:ascii="Times New Roman" w:hAnsi="Times New Roman" w:cs="Times New Roman"/>
        </w:rPr>
        <w:t xml:space="preserve"> tali</w:t>
      </w:r>
      <w:r w:rsidR="00441DF3" w:rsidRPr="00E57DA5">
        <w:rPr>
          <w:rFonts w:ascii="Times New Roman" w:hAnsi="Times New Roman" w:cs="Times New Roman"/>
        </w:rPr>
        <w:t xml:space="preserve"> radiazioni da radiofrequenza</w:t>
      </w:r>
      <w:r w:rsidR="00C6050E" w:rsidRPr="00E57DA5">
        <w:rPr>
          <w:rFonts w:ascii="Times New Roman" w:hAnsi="Times New Roman" w:cs="Times New Roman"/>
        </w:rPr>
        <w:t xml:space="preserve"> nelle condizioni indicate </w:t>
      </w:r>
      <w:r w:rsidR="0039244A" w:rsidRPr="00E57DA5">
        <w:rPr>
          <w:rFonts w:ascii="Times New Roman" w:hAnsi="Times New Roman" w:cs="Times New Roman"/>
        </w:rPr>
        <w:t xml:space="preserve">prescindono </w:t>
      </w:r>
      <w:r w:rsidR="00441DF3" w:rsidRPr="00E57DA5">
        <w:rPr>
          <w:rFonts w:ascii="Times New Roman" w:hAnsi="Times New Roman" w:cs="Times New Roman"/>
        </w:rPr>
        <w:t xml:space="preserve">gli attuali limiti di legge </w:t>
      </w:r>
      <w:r w:rsidR="0039244A" w:rsidRPr="00E57DA5">
        <w:rPr>
          <w:rFonts w:ascii="Times New Roman" w:hAnsi="Times New Roman" w:cs="Times New Roman"/>
        </w:rPr>
        <w:t xml:space="preserve">che </w:t>
      </w:r>
      <w:r w:rsidRPr="00E57DA5">
        <w:rPr>
          <w:rFonts w:ascii="Times New Roman" w:hAnsi="Times New Roman" w:cs="Times New Roman"/>
        </w:rPr>
        <w:t xml:space="preserve">non </w:t>
      </w:r>
      <w:r w:rsidR="00441DF3" w:rsidRPr="00E57DA5">
        <w:rPr>
          <w:rFonts w:ascii="Times New Roman" w:hAnsi="Times New Roman" w:cs="Times New Roman"/>
        </w:rPr>
        <w:t xml:space="preserve">considerano </w:t>
      </w:r>
      <w:r w:rsidR="0039244A" w:rsidRPr="00E57DA5">
        <w:rPr>
          <w:rFonts w:ascii="Times New Roman" w:hAnsi="Times New Roman" w:cs="Times New Roman"/>
        </w:rPr>
        <w:t xml:space="preserve">le </w:t>
      </w:r>
      <w:r w:rsidR="00441DF3" w:rsidRPr="00E57DA5">
        <w:rPr>
          <w:rFonts w:ascii="Times New Roman" w:hAnsi="Times New Roman" w:cs="Times New Roman"/>
        </w:rPr>
        <w:t xml:space="preserve">condizioni individuali che </w:t>
      </w:r>
      <w:r w:rsidR="00C6050E" w:rsidRPr="00E57DA5">
        <w:rPr>
          <w:rFonts w:ascii="Times New Roman" w:hAnsi="Times New Roman" w:cs="Times New Roman"/>
        </w:rPr>
        <w:t>possono rendere</w:t>
      </w:r>
      <w:r w:rsidR="00441DF3" w:rsidRPr="00E57DA5">
        <w:rPr>
          <w:rFonts w:ascii="Times New Roman" w:hAnsi="Times New Roman" w:cs="Times New Roman"/>
        </w:rPr>
        <w:t xml:space="preserve"> suscettibili</w:t>
      </w:r>
      <w:r w:rsidR="0039244A" w:rsidRPr="00E57DA5">
        <w:rPr>
          <w:rFonts w:ascii="Times New Roman" w:hAnsi="Times New Roman" w:cs="Times New Roman"/>
        </w:rPr>
        <w:t xml:space="preserve"> gli organismi viventi</w:t>
      </w:r>
      <w:r w:rsidR="00441DF3" w:rsidRPr="00E57DA5">
        <w:rPr>
          <w:rFonts w:ascii="Times New Roman" w:hAnsi="Times New Roman" w:cs="Times New Roman"/>
        </w:rPr>
        <w:t xml:space="preserve"> a tali effetti</w:t>
      </w:r>
      <w:r w:rsidRPr="00E57DA5">
        <w:rPr>
          <w:rStyle w:val="Rimandonotaapidipagina"/>
          <w:rFonts w:ascii="Times New Roman" w:hAnsi="Times New Roman" w:cs="Times New Roman"/>
        </w:rPr>
        <w:footnoteReference w:id="3"/>
      </w:r>
      <w:r w:rsidR="00441DF3" w:rsidRPr="00E57DA5">
        <w:rPr>
          <w:rFonts w:ascii="Times New Roman" w:hAnsi="Times New Roman" w:cs="Times New Roman"/>
        </w:rPr>
        <w:t>.</w:t>
      </w:r>
    </w:p>
    <w:p w:rsidR="00441DF3" w:rsidRPr="00E57DA5" w:rsidRDefault="00441DF3"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Si richiede quindi </w:t>
      </w:r>
      <w:r w:rsidR="007939E8" w:rsidRPr="00E57DA5">
        <w:rPr>
          <w:rFonts w:ascii="Times New Roman" w:hAnsi="Times New Roman" w:cs="Times New Roman"/>
        </w:rPr>
        <w:t>la dismissione del dispositivo installato</w:t>
      </w:r>
      <w:r w:rsidRPr="00E57DA5">
        <w:rPr>
          <w:rFonts w:ascii="Times New Roman" w:hAnsi="Times New Roman" w:cs="Times New Roman"/>
        </w:rPr>
        <w:t xml:space="preserve"> per i seguenti motivi:</w:t>
      </w:r>
    </w:p>
    <w:p w:rsidR="00441DF3" w:rsidRPr="00E57DA5" w:rsidRDefault="00441DF3" w:rsidP="004563BC">
      <w:pPr>
        <w:pStyle w:val="Paragrafoelenco"/>
        <w:numPr>
          <w:ilvl w:val="0"/>
          <w:numId w:val="1"/>
        </w:numPr>
        <w:spacing w:line="360" w:lineRule="auto"/>
        <w:rPr>
          <w:sz w:val="22"/>
          <w:szCs w:val="22"/>
        </w:rPr>
      </w:pPr>
      <w:r w:rsidRPr="00E57DA5">
        <w:rPr>
          <w:sz w:val="22"/>
          <w:szCs w:val="22"/>
        </w:rPr>
        <w:lastRenderedPageBreak/>
        <w:t>non sono state fornite informazioni sulle frequenze utilizzate e sul campo elettromagnetico che possono determinare e sulle distanze di sicurezza da persone sensibili o bambini e non è stata fornita alcuna scheda di sicurezza adeguata a reperire informazioni sulle frequenze utilizzate e sul campo elettromagnetico risultante anche in relazione alla presenza di malattie invalidanti</w:t>
      </w:r>
      <w:r w:rsidR="00C6050E" w:rsidRPr="00E57DA5">
        <w:rPr>
          <w:sz w:val="22"/>
          <w:szCs w:val="22"/>
        </w:rPr>
        <w:t>.</w:t>
      </w:r>
      <w:r w:rsidRPr="00E57DA5">
        <w:rPr>
          <w:sz w:val="22"/>
          <w:szCs w:val="22"/>
        </w:rPr>
        <w:t xml:space="preserve"> </w:t>
      </w:r>
      <w:r w:rsidR="00C6050E" w:rsidRPr="00E57DA5">
        <w:rPr>
          <w:sz w:val="22"/>
          <w:szCs w:val="22"/>
        </w:rPr>
        <w:t>Ai sensi del Decreto Legislativo 18 maggio 2016, n. 80</w:t>
      </w:r>
      <w:r w:rsidR="00C6050E" w:rsidRPr="00E57DA5">
        <w:rPr>
          <w:rStyle w:val="Rimandonotaapidipagina"/>
          <w:sz w:val="22"/>
          <w:szCs w:val="22"/>
        </w:rPr>
        <w:footnoteReference w:id="4"/>
      </w:r>
      <w:r w:rsidR="00C6050E" w:rsidRPr="00E57DA5">
        <w:rPr>
          <w:sz w:val="22"/>
          <w:szCs w:val="22"/>
        </w:rPr>
        <w:t xml:space="preserve"> è del tutto giustificato ottenere le caratteristiche dell’impianto che un ente privato vuole installare in un’abitazione di proprietà ed è doveroso da parte dell’ente fornire tutte le informazioni richieste. All’art. 7 del </w:t>
      </w:r>
      <w:proofErr w:type="spellStart"/>
      <w:r w:rsidR="00C6050E" w:rsidRPr="00E57DA5">
        <w:rPr>
          <w:sz w:val="22"/>
          <w:szCs w:val="22"/>
        </w:rPr>
        <w:t>del</w:t>
      </w:r>
      <w:proofErr w:type="spellEnd"/>
      <w:r w:rsidR="00C6050E" w:rsidRPr="00E57DA5">
        <w:rPr>
          <w:sz w:val="22"/>
          <w:szCs w:val="22"/>
        </w:rPr>
        <w:t xml:space="preserve"> D. </w:t>
      </w:r>
      <w:proofErr w:type="spellStart"/>
      <w:r w:rsidR="00C6050E" w:rsidRPr="00E57DA5">
        <w:rPr>
          <w:sz w:val="22"/>
          <w:szCs w:val="22"/>
        </w:rPr>
        <w:t>Lgs</w:t>
      </w:r>
      <w:proofErr w:type="spellEnd"/>
      <w:r w:rsidR="00C6050E" w:rsidRPr="00E57DA5">
        <w:rPr>
          <w:sz w:val="22"/>
          <w:szCs w:val="22"/>
        </w:rPr>
        <w:t>. 18 maggio 2016, n. 80 si legge infatti “I fabbricanti garantiscono che  l'apparecchio  sia  accompagnato dalle istruzioni e dalle  informazioni di cui all'articolo 11 in lingua italiana. Tali istruzioni e informazioni, al pari di qualunque etichettatura, devono essere chiare, comprensibili e intelligibili”.</w:t>
      </w:r>
    </w:p>
    <w:p w:rsidR="00441DF3" w:rsidRPr="00E57DA5" w:rsidRDefault="00441DF3" w:rsidP="004563BC">
      <w:pPr>
        <w:pStyle w:val="Paragrafoelenco"/>
        <w:numPr>
          <w:ilvl w:val="0"/>
          <w:numId w:val="1"/>
        </w:numPr>
        <w:spacing w:line="360" w:lineRule="auto"/>
        <w:rPr>
          <w:sz w:val="22"/>
          <w:szCs w:val="22"/>
        </w:rPr>
      </w:pPr>
      <w:r w:rsidRPr="00E57DA5">
        <w:rPr>
          <w:sz w:val="22"/>
          <w:szCs w:val="22"/>
        </w:rPr>
        <w:t xml:space="preserve">non è stata fornita alcuna garanzia sull’innocuità dei campi elettromagnetici risultanti dall’utilizzo </w:t>
      </w:r>
      <w:r w:rsidR="007939E8" w:rsidRPr="00E57DA5">
        <w:rPr>
          <w:sz w:val="22"/>
          <w:szCs w:val="22"/>
        </w:rPr>
        <w:t>del dispositivo</w:t>
      </w:r>
      <w:r w:rsidRPr="00E57DA5">
        <w:rPr>
          <w:sz w:val="22"/>
          <w:szCs w:val="22"/>
        </w:rPr>
        <w:t xml:space="preserve"> in oggetto nei confronti di persone affette da disabilità che rientrano nella classificazione dell’American Academy of </w:t>
      </w:r>
      <w:proofErr w:type="spellStart"/>
      <w:r w:rsidRPr="00E57DA5">
        <w:rPr>
          <w:sz w:val="22"/>
          <w:szCs w:val="22"/>
        </w:rPr>
        <w:t>Environmental</w:t>
      </w:r>
      <w:proofErr w:type="spellEnd"/>
      <w:r w:rsidRPr="00E57DA5">
        <w:rPr>
          <w:sz w:val="22"/>
          <w:szCs w:val="22"/>
        </w:rPr>
        <w:t xml:space="preserve"> Medicine che raccomanda di evitare </w:t>
      </w:r>
      <w:r w:rsidR="00537859" w:rsidRPr="00E57DA5">
        <w:rPr>
          <w:sz w:val="22"/>
          <w:szCs w:val="22"/>
        </w:rPr>
        <w:t>determinate frequenze</w:t>
      </w:r>
      <w:r w:rsidRPr="00E57DA5">
        <w:rPr>
          <w:sz w:val="22"/>
          <w:szCs w:val="22"/>
        </w:rPr>
        <w:t xml:space="preserve"> a causa del loro effetto nocivo sulla salute, in presenza di disabilità quali Malattie neurodegenerative (morbo di Parkinson, morbo di Alzheimer e Sclerosi laterale amiotrofica), condizioni neurologiche (mal di testa, depressione, disturbi del sonno, affaticamento, vertigini, tremori, disfunzione del sistema nervoso autonomo, diminuzione della memoria, disturbo da deficit di attenzione, ansia, disturbi visivi), anomalie fetali e gravidanza, difetti genetici e cancro, malattie epatiche e genito-urinarie</w:t>
      </w:r>
      <w:r w:rsidRPr="00E57DA5">
        <w:rPr>
          <w:rStyle w:val="Rimandonotaapidipagina"/>
          <w:sz w:val="22"/>
          <w:szCs w:val="22"/>
        </w:rPr>
        <w:footnoteReference w:id="5"/>
      </w:r>
      <w:r w:rsidRPr="00E57DA5">
        <w:rPr>
          <w:sz w:val="22"/>
          <w:szCs w:val="22"/>
        </w:rPr>
        <w:t>.</w:t>
      </w:r>
    </w:p>
    <w:p w:rsidR="0039244A" w:rsidRPr="00E57DA5" w:rsidRDefault="0039244A" w:rsidP="004563BC">
      <w:pPr>
        <w:pStyle w:val="Paragrafoelenco"/>
        <w:numPr>
          <w:ilvl w:val="0"/>
          <w:numId w:val="1"/>
        </w:numPr>
        <w:spacing w:line="360" w:lineRule="auto"/>
        <w:rPr>
          <w:sz w:val="22"/>
          <w:szCs w:val="22"/>
        </w:rPr>
      </w:pPr>
      <w:r w:rsidRPr="00E57DA5">
        <w:rPr>
          <w:sz w:val="22"/>
          <w:szCs w:val="22"/>
        </w:rPr>
        <w:t>non è stata garantito in alcun modo il rispetto dei limiti indicati dal Regolamento 381/1998 e dalla legge 36/2001</w:t>
      </w:r>
    </w:p>
    <w:p w:rsidR="00C6050E" w:rsidRPr="00E57DA5" w:rsidRDefault="00C6050E" w:rsidP="004563BC">
      <w:pPr>
        <w:spacing w:before="120" w:after="120" w:line="360" w:lineRule="auto"/>
        <w:jc w:val="both"/>
        <w:rPr>
          <w:rFonts w:ascii="Times New Roman" w:hAnsi="Times New Roman" w:cs="Times New Roman"/>
        </w:rPr>
      </w:pPr>
    </w:p>
    <w:p w:rsidR="0039244A" w:rsidRPr="00E57DA5" w:rsidRDefault="0039244A" w:rsidP="004563BC">
      <w:pPr>
        <w:spacing w:before="120" w:after="120" w:line="360" w:lineRule="auto"/>
        <w:jc w:val="both"/>
        <w:rPr>
          <w:rFonts w:ascii="Times New Roman" w:hAnsi="Times New Roman" w:cs="Times New Roman"/>
        </w:rPr>
      </w:pPr>
      <w:r w:rsidRPr="00E57DA5">
        <w:rPr>
          <w:rFonts w:ascii="Times New Roman" w:hAnsi="Times New Roman" w:cs="Times New Roman"/>
        </w:rPr>
        <w:t>Si evidenzia la necessità di applicare il principio di precauzione in merito ai campi elettromagnetici invocato anche dalla Risoluzione N. 1815 dell’Assemblea Plenaria del Consiglio d’Europa nel 2011.</w:t>
      </w:r>
    </w:p>
    <w:p w:rsidR="0039244A" w:rsidRPr="00E57DA5" w:rsidRDefault="0039244A" w:rsidP="004563BC">
      <w:pPr>
        <w:spacing w:before="120" w:after="120" w:line="360" w:lineRule="auto"/>
        <w:jc w:val="both"/>
        <w:rPr>
          <w:rFonts w:ascii="Times New Roman" w:hAnsi="Times New Roman" w:cs="Times New Roman"/>
        </w:rPr>
      </w:pPr>
      <w:r w:rsidRPr="00E57DA5">
        <w:rPr>
          <w:rFonts w:ascii="Times New Roman" w:hAnsi="Times New Roman" w:cs="Times New Roman"/>
        </w:rPr>
        <w:t>Si richiede l'attuazione dell'art. 12 legge 36/2001 per la informazione sul rischio elettromagnetico agli utenti dei dispositivi elettromagnetici mobili, inclusi i telefoni e i dispositivi per la trasmissione dati.</w:t>
      </w:r>
    </w:p>
    <w:p w:rsidR="007939E8" w:rsidRPr="00E57DA5" w:rsidRDefault="007939E8"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In assenza di certificazioni e precisa citazione della normativa UE </w:t>
      </w:r>
      <w:r w:rsidR="00C6050E" w:rsidRPr="00E57DA5">
        <w:rPr>
          <w:rFonts w:ascii="Times New Roman" w:hAnsi="Times New Roman" w:cs="Times New Roman"/>
        </w:rPr>
        <w:t xml:space="preserve">e nazionale </w:t>
      </w:r>
      <w:r w:rsidRPr="00E57DA5">
        <w:rPr>
          <w:rFonts w:ascii="Times New Roman" w:hAnsi="Times New Roman" w:cs="Times New Roman"/>
        </w:rPr>
        <w:t>che rende il dispositivo in oggetto legale ai sensi della normativa vigente</w:t>
      </w:r>
      <w:r w:rsidR="00A328B3" w:rsidRPr="00E57DA5">
        <w:rPr>
          <w:rFonts w:ascii="Times New Roman" w:hAnsi="Times New Roman" w:cs="Times New Roman"/>
        </w:rPr>
        <w:t xml:space="preserve"> (Direttiva 2014/30/UE)</w:t>
      </w:r>
      <w:r w:rsidR="00C6050E" w:rsidRPr="00E57DA5">
        <w:rPr>
          <w:rFonts w:ascii="Times New Roman" w:hAnsi="Times New Roman" w:cs="Times New Roman"/>
        </w:rPr>
        <w:t>,</w:t>
      </w:r>
      <w:r w:rsidRPr="00E57DA5">
        <w:rPr>
          <w:rFonts w:ascii="Times New Roman" w:hAnsi="Times New Roman" w:cs="Times New Roman"/>
        </w:rPr>
        <w:t xml:space="preserve"> si ritiene possibile che l’installazione di tale dispositivo in sinergia con quelle di antenne dei cellulari, </w:t>
      </w:r>
      <w:proofErr w:type="spellStart"/>
      <w:r w:rsidRPr="00E57DA5">
        <w:rPr>
          <w:rFonts w:ascii="Times New Roman" w:hAnsi="Times New Roman" w:cs="Times New Roman"/>
        </w:rPr>
        <w:t>wi</w:t>
      </w:r>
      <w:proofErr w:type="spellEnd"/>
      <w:r w:rsidRPr="00E57DA5">
        <w:rPr>
          <w:rFonts w:ascii="Times New Roman" w:hAnsi="Times New Roman" w:cs="Times New Roman"/>
        </w:rPr>
        <w:t xml:space="preserve"> fi e </w:t>
      </w:r>
      <w:proofErr w:type="spellStart"/>
      <w:r w:rsidRPr="00E57DA5">
        <w:rPr>
          <w:rFonts w:ascii="Times New Roman" w:hAnsi="Times New Roman" w:cs="Times New Roman"/>
        </w:rPr>
        <w:t>smart</w:t>
      </w:r>
      <w:proofErr w:type="spellEnd"/>
      <w:r w:rsidRPr="00E57DA5">
        <w:rPr>
          <w:rFonts w:ascii="Times New Roman" w:hAnsi="Times New Roman" w:cs="Times New Roman"/>
        </w:rPr>
        <w:t xml:space="preserve"> </w:t>
      </w:r>
      <w:proofErr w:type="spellStart"/>
      <w:r w:rsidRPr="00E57DA5">
        <w:rPr>
          <w:rFonts w:ascii="Times New Roman" w:hAnsi="Times New Roman" w:cs="Times New Roman"/>
        </w:rPr>
        <w:t>meter</w:t>
      </w:r>
      <w:proofErr w:type="spellEnd"/>
      <w:r w:rsidRPr="00E57DA5">
        <w:rPr>
          <w:rFonts w:ascii="Times New Roman" w:hAnsi="Times New Roman" w:cs="Times New Roman"/>
        </w:rPr>
        <w:t>, possa causare danni seri e irreparabili al corpo, agli esseri umani e alla natura, a causa delle radiazioni radiofrequenze (RF) utilizzate</w:t>
      </w:r>
      <w:r w:rsidR="0039244A" w:rsidRPr="00E57DA5">
        <w:rPr>
          <w:rFonts w:ascii="Times New Roman" w:hAnsi="Times New Roman" w:cs="Times New Roman"/>
        </w:rPr>
        <w:t xml:space="preserve"> e alla sinergia con altre onde portanti</w:t>
      </w:r>
      <w:r w:rsidRPr="00E57DA5">
        <w:rPr>
          <w:rFonts w:ascii="Times New Roman" w:hAnsi="Times New Roman" w:cs="Times New Roman"/>
        </w:rPr>
        <w:t>.</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lastRenderedPageBreak/>
        <w:t xml:space="preserve">In assenza di una pronta sostituzione del dispositivo o di una documentazione sufficiente a dimostrare l’assenza di rischio relativamente </w:t>
      </w:r>
      <w:r w:rsidR="00AF5FBA" w:rsidRPr="00E57DA5">
        <w:rPr>
          <w:rFonts w:ascii="Times New Roman" w:hAnsi="Times New Roman" w:cs="Times New Roman"/>
        </w:rPr>
        <w:t>ai valori di cui</w:t>
      </w:r>
      <w:r w:rsidRPr="00E57DA5">
        <w:rPr>
          <w:rFonts w:ascii="Times New Roman" w:hAnsi="Times New Roman" w:cs="Times New Roman"/>
        </w:rPr>
        <w:t xml:space="preserve"> sopra si ritengono violati i seguenti diritti costituzionali:</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14 Costituzione: “Il domicilio è inviolabile”.</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13 Costituzione: “La libertà personale è inviolabile. E1 punita ogni violenza fisica e morale sulle persone comunque sottoposte a restrizioni di libertà”</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16 Costituzione: “Ogni cittadino può circolare e soggiornare liberamente in qualsiasi parte del territorio nazionale, salvo le limitazioni di legge in via generale per motivi di sanità e di sicurezza”.</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28 Costituzione: “I funzionari e i dipendenti dello Stato e degli enti pubblici sono direttamente responsabili, secondo le leggi penali, civili e amministrative, degli atti compiuti in violazione di diritti. In tali casi la responsabilità civile si estende allo Stato e agli enti pubblici (il sindaco è la massima autorità sanitaria del tuo comune).</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32 Costituzione: La Repubblica tutela la salute come diritto fondamentale dell’individuo e come interesse della collettività. Nessuno può essere obbligato a un determinato trattamento se non per disposizione di legge. La legge non può in nessun caso violare i limiti imposti dal rispetto della persona umana”.</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41 Costituzione: “L’iniziativa privata è libera. Non può svolgersi in contrasto con l’utilità sociale o in modo da recare danno alla sicurezza, alla libertà, alla dignità umana”.</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44 Costituzione: “Al fine di conseguire il razionale sfruttamento del suolo o di stabilire equi rapporti sociali, la legge impone obblighi e vincoli alla proprietà terriera privata, e aiuta la media e la piccola proprietà”.</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42 Costituzione (comma 2): “La proprietà privata è riconosciuta e garantita dalla legge che non determina i modi di acquisto, di godimento e i limiti allo scopo di assicurarne la funzione sociale e di renderla accettabile a tutti”.</w:t>
      </w:r>
    </w:p>
    <w:p w:rsidR="00C6050E" w:rsidRPr="00E57DA5" w:rsidRDefault="00C6050E" w:rsidP="004563BC">
      <w:pPr>
        <w:spacing w:before="120" w:after="120" w:line="360" w:lineRule="auto"/>
        <w:ind w:left="284"/>
        <w:jc w:val="both"/>
        <w:rPr>
          <w:rFonts w:ascii="Times New Roman" w:hAnsi="Times New Roman" w:cs="Times New Roman"/>
        </w:rPr>
      </w:pPr>
      <w:r w:rsidRPr="00E57DA5">
        <w:rPr>
          <w:rFonts w:ascii="Times New Roman" w:hAnsi="Times New Roman" w:cs="Times New Roman"/>
        </w:rPr>
        <w:t>– Art 54 Costituzione: “I cittadini cui sono affidate le funzioni pubbliche hanno il dovere di compierle con disciplina e onore, prestando giuramento nei casi stabiliti dalla legge”.</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Si ricorda che è possibile ricondurre l’emissione non dovuta di onde </w:t>
      </w:r>
      <w:proofErr w:type="spellStart"/>
      <w:r w:rsidRPr="00E57DA5">
        <w:rPr>
          <w:rFonts w:ascii="Times New Roman" w:hAnsi="Times New Roman" w:cs="Times New Roman"/>
        </w:rPr>
        <w:t>elettromagnetche</w:t>
      </w:r>
      <w:proofErr w:type="spellEnd"/>
      <w:r w:rsidRPr="00E57DA5">
        <w:rPr>
          <w:rFonts w:ascii="Times New Roman" w:hAnsi="Times New Roman" w:cs="Times New Roman"/>
        </w:rPr>
        <w:t xml:space="preserve"> alla contravvenzione prevista dalla prima parte dell’art. 674 c.p. “getto pericoloso di cose”</w:t>
      </w:r>
      <w:r w:rsidRPr="00E57DA5">
        <w:rPr>
          <w:rStyle w:val="Rimandonotaapidipagina"/>
          <w:rFonts w:ascii="Times New Roman" w:hAnsi="Times New Roman" w:cs="Times New Roman"/>
        </w:rPr>
        <w:footnoteReference w:id="6"/>
      </w:r>
      <w:r w:rsidRPr="00E57DA5">
        <w:rPr>
          <w:rFonts w:ascii="Times New Roman" w:hAnsi="Times New Roman" w:cs="Times New Roman"/>
        </w:rPr>
        <w:t xml:space="preserve">: “Chiunque getta o versa, in un luogo di pubblico transito o in un luogo privato ma di comune o di altrui uso, cose atte a offendere o imbrattare o molestare persone , ovvero, nei casi non consentiti dalla legge, provoca emissioni di gas, di vapori o di fumo, atti a cagionare tali effetti, è punito con l’arresto fino a un mese o con l’ammenda fino a </w:t>
      </w:r>
      <w:proofErr w:type="spellStart"/>
      <w:r w:rsidRPr="00E57DA5">
        <w:rPr>
          <w:rFonts w:ascii="Times New Roman" w:hAnsi="Times New Roman" w:cs="Times New Roman"/>
        </w:rPr>
        <w:t>duecentosei</w:t>
      </w:r>
      <w:proofErr w:type="spellEnd"/>
      <w:r w:rsidRPr="00E57DA5">
        <w:rPr>
          <w:rFonts w:ascii="Times New Roman" w:hAnsi="Times New Roman" w:cs="Times New Roman"/>
        </w:rPr>
        <w:t xml:space="preserve"> euro”. Quindi di fatto un’assenza di tutela efficace che i governi sedicenti ecologisti si guardano bene dal favorire.</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lastRenderedPageBreak/>
        <w:t xml:space="preserve">La Corte di Cassazione (Cass. </w:t>
      </w:r>
      <w:proofErr w:type="spellStart"/>
      <w:r w:rsidRPr="00E57DA5">
        <w:rPr>
          <w:rFonts w:ascii="Times New Roman" w:hAnsi="Times New Roman" w:cs="Times New Roman"/>
        </w:rPr>
        <w:t>pen</w:t>
      </w:r>
      <w:proofErr w:type="spellEnd"/>
      <w:r w:rsidRPr="00E57DA5">
        <w:rPr>
          <w:rFonts w:ascii="Times New Roman" w:hAnsi="Times New Roman" w:cs="Times New Roman"/>
        </w:rPr>
        <w:t xml:space="preserve">., sez. IV, 22 novembre 2007, n. 33285; Cass. </w:t>
      </w:r>
      <w:proofErr w:type="spellStart"/>
      <w:r w:rsidRPr="00E57DA5">
        <w:rPr>
          <w:rFonts w:ascii="Times New Roman" w:hAnsi="Times New Roman" w:cs="Times New Roman"/>
        </w:rPr>
        <w:t>pen</w:t>
      </w:r>
      <w:proofErr w:type="spellEnd"/>
      <w:r w:rsidRPr="00E57DA5">
        <w:rPr>
          <w:rFonts w:ascii="Times New Roman" w:hAnsi="Times New Roman" w:cs="Times New Roman"/>
        </w:rPr>
        <w:t xml:space="preserve">., 13 maggio 2008, n. 36845) ha evidenziato come il codice riconosce ex art 624 c.p. l’energia elettrica e le altre energie aventi valore economico, equiparandole, agli effetti penali, alle cose mobili. La giurisprudenza ha perciò ritenuto che la condotta della propagazione o diffusione di onde elettromagnetiche possa integrare gli estremi della condotta tipica di getto. Ai fini dell’applicabilità dell’art. 674 c.p. occorre verificare l’idoneità delle onde elettromagnetiche ad offendere o molestare. </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t>Nel caso delle frequenze elettromagnetiche è possibile l’attuazione del Principio di Precauzione per tutte le frequenze e le intensità di campo elettromagnetico di cui non si conoscano o non si sia in grado di fornire le dovute caratteristiche</w:t>
      </w:r>
      <w:r w:rsidRPr="00E57DA5">
        <w:rPr>
          <w:rStyle w:val="Rimandonotaapidipagina"/>
          <w:rFonts w:ascii="Times New Roman" w:hAnsi="Times New Roman" w:cs="Times New Roman"/>
        </w:rPr>
        <w:footnoteReference w:id="7"/>
      </w:r>
      <w:r w:rsidRPr="00E57DA5">
        <w:rPr>
          <w:rFonts w:ascii="Times New Roman" w:hAnsi="Times New Roman" w:cs="Times New Roman"/>
        </w:rPr>
        <w:t>. Il Principio di Precauzione dovrebbe informare ogni attività della pubblica amministrazione e dei privati; i cittadini hanno il diritto di sapere che cosa viene installato nelle loro abitazioni e quali pericoli possano derivare dagli apparecchi di nuova generazione (ma anche da quelli vecchi). Il diritto alla salute è garantito dalla costituzione, all’art. 32, e ad esso possono appellarsi i cittadini qualora dovessero legittimamente temere per la loro salute.</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Inoltre nell’art. Art. 3-quater n. 152 del decreto legislativo della presidenza della repubblica del 3 aprile 2006, “Norme in materia ambientale” si legge che l´attività della pubblica amministrazione, nell´ambito della scelta comparativa di interessi pubblici e privati connotata da discrezionalità, deve dare prioritaria considerazione alla tutela ambientale. </w:t>
      </w:r>
    </w:p>
    <w:p w:rsidR="00C6050E" w:rsidRPr="00E57DA5" w:rsidRDefault="00C6050E" w:rsidP="004563BC">
      <w:pPr>
        <w:spacing w:before="120" w:after="120" w:line="360" w:lineRule="auto"/>
        <w:jc w:val="both"/>
        <w:rPr>
          <w:rFonts w:ascii="Times New Roman" w:hAnsi="Times New Roman" w:cs="Times New Roman"/>
        </w:rPr>
      </w:pPr>
      <w:r w:rsidRPr="00E57DA5">
        <w:rPr>
          <w:rFonts w:ascii="Times New Roman" w:hAnsi="Times New Roman" w:cs="Times New Roman"/>
        </w:rPr>
        <w:t>Ci sembra opportuno ricordare in dettaglio le norme significanti contenute nel D.lgs. 3 aprile 2006, n. 152, “Norme in materia ambientale”</w:t>
      </w:r>
      <w:r w:rsidRPr="00E57DA5">
        <w:rPr>
          <w:rStyle w:val="Rimandonotaapidipagina"/>
          <w:rFonts w:ascii="Times New Roman" w:hAnsi="Times New Roman" w:cs="Times New Roman"/>
          <w:bCs/>
        </w:rPr>
        <w:footnoteReference w:id="8"/>
      </w:r>
      <w:r w:rsidRPr="00E57DA5">
        <w:rPr>
          <w:rFonts w:ascii="Times New Roman" w:hAnsi="Times New Roman" w:cs="Times New Roman"/>
        </w:rPr>
        <w:t xml:space="preserve"> che in tema dei campi e elettromagnetici artificiali non ci sembrano rispettate:</w:t>
      </w:r>
      <w:r w:rsidRPr="00E57DA5">
        <w:rPr>
          <w:rFonts w:ascii="Times New Roman" w:hAnsi="Times New Roman" w:cs="Times New Roman"/>
          <w:b/>
        </w:rPr>
        <w:t xml:space="preserve"> </w:t>
      </w:r>
    </w:p>
    <w:p w:rsidR="00C6050E" w:rsidRPr="00E57DA5" w:rsidRDefault="00C6050E" w:rsidP="004563BC">
      <w:pPr>
        <w:pStyle w:val="Default"/>
        <w:spacing w:before="120" w:after="120" w:line="360" w:lineRule="auto"/>
        <w:jc w:val="both"/>
        <w:rPr>
          <w:sz w:val="22"/>
          <w:szCs w:val="22"/>
        </w:rPr>
      </w:pPr>
    </w:p>
    <w:p w:rsidR="00C6050E" w:rsidRPr="00E57DA5" w:rsidRDefault="00C6050E" w:rsidP="004563BC">
      <w:pPr>
        <w:pStyle w:val="Default"/>
        <w:spacing w:before="120" w:after="120" w:line="360" w:lineRule="auto"/>
        <w:ind w:left="567"/>
        <w:jc w:val="both"/>
        <w:rPr>
          <w:sz w:val="22"/>
          <w:szCs w:val="22"/>
        </w:rPr>
      </w:pPr>
      <w:r w:rsidRPr="00E57DA5">
        <w:rPr>
          <w:b/>
          <w:bCs/>
          <w:sz w:val="22"/>
          <w:szCs w:val="22"/>
        </w:rPr>
        <w:t>Art. 3-ter. Principio dell´azione ambientale</w:t>
      </w:r>
    </w:p>
    <w:p w:rsidR="00C6050E" w:rsidRPr="00E57DA5" w:rsidRDefault="00C6050E" w:rsidP="004563BC">
      <w:pPr>
        <w:spacing w:before="120" w:after="120" w:line="360" w:lineRule="auto"/>
        <w:ind w:left="567"/>
        <w:jc w:val="both"/>
        <w:rPr>
          <w:rFonts w:ascii="Times New Roman" w:hAnsi="Times New Roman" w:cs="Times New Roman"/>
        </w:rPr>
      </w:pPr>
      <w:r w:rsidRPr="00E57DA5">
        <w:rPr>
          <w:rFonts w:ascii="Times New Roman" w:hAnsi="Times New Roman" w:cs="Times New Roman"/>
        </w:rPr>
        <w:t xml:space="preserve">La tutela dell´ambiente e degli ecosistemi naturali e del patrimonio culturale deve essere garantita da tutti gli enti pubblici e privati e dalle persone fisiche e  giuridiche pubbliche o private, mediante un’adeguata azione che sia informata ai  principi della precauzione, dell´azione preventiva, della correzione, in via  prioritaria alla fonte, dei danni causati all´ambiente, nonché al principio "chi  inquina paga" che, ai sensi dell´articolo 174, comma 2, del Trattato dell’Unione Europea, regolano la politica della comunità in materia ambientale. </w:t>
      </w:r>
    </w:p>
    <w:p w:rsidR="00C6050E" w:rsidRPr="00E57DA5" w:rsidRDefault="00C6050E" w:rsidP="004563BC">
      <w:pPr>
        <w:pStyle w:val="Default"/>
        <w:spacing w:before="120" w:after="120" w:line="360" w:lineRule="auto"/>
        <w:ind w:left="567"/>
        <w:jc w:val="both"/>
        <w:rPr>
          <w:sz w:val="22"/>
          <w:szCs w:val="22"/>
        </w:rPr>
      </w:pPr>
    </w:p>
    <w:p w:rsidR="00C6050E" w:rsidRPr="00E57DA5" w:rsidRDefault="00C6050E" w:rsidP="004563BC">
      <w:pPr>
        <w:pStyle w:val="Default"/>
        <w:spacing w:before="120" w:after="120" w:line="360" w:lineRule="auto"/>
        <w:ind w:left="567"/>
        <w:jc w:val="both"/>
        <w:rPr>
          <w:sz w:val="22"/>
          <w:szCs w:val="22"/>
        </w:rPr>
      </w:pPr>
      <w:r w:rsidRPr="00E57DA5">
        <w:rPr>
          <w:b/>
          <w:bCs/>
          <w:sz w:val="22"/>
          <w:szCs w:val="22"/>
        </w:rPr>
        <w:lastRenderedPageBreak/>
        <w:t>Art. 3-quater. Principio dello sviluppo sostenibile</w:t>
      </w:r>
      <w:r w:rsidRPr="00E57DA5">
        <w:rPr>
          <w:rStyle w:val="Rimandonotaapidipagina"/>
          <w:sz w:val="22"/>
          <w:szCs w:val="22"/>
        </w:rPr>
        <w:footnoteReference w:id="9"/>
      </w:r>
      <w:r w:rsidRPr="00E57DA5">
        <w:rPr>
          <w:sz w:val="22"/>
          <w:szCs w:val="22"/>
        </w:rPr>
        <w:t xml:space="preserve"> </w:t>
      </w:r>
    </w:p>
    <w:p w:rsidR="00C6050E" w:rsidRPr="00E57DA5" w:rsidRDefault="00C6050E" w:rsidP="004563BC">
      <w:pPr>
        <w:pStyle w:val="Default"/>
        <w:spacing w:before="120" w:after="120" w:line="360" w:lineRule="auto"/>
        <w:ind w:left="567"/>
        <w:jc w:val="both"/>
        <w:rPr>
          <w:sz w:val="22"/>
          <w:szCs w:val="22"/>
        </w:rPr>
      </w:pPr>
      <w:r w:rsidRPr="00E57DA5">
        <w:rPr>
          <w:sz w:val="22"/>
          <w:szCs w:val="22"/>
        </w:rPr>
        <w:t>1. Ogni attività umana giuridicamente rilevante ai sensi del presente codice deve conformarsi al principio dello sviluppo sostenibile, al fine di garantire che il soddisfacimento dei bisogni delle generazioni attuali non possa compromettere la qualità della vita e le possibilità delle generazioni future.</w:t>
      </w:r>
    </w:p>
    <w:p w:rsidR="00C6050E" w:rsidRPr="00E57DA5" w:rsidRDefault="00C6050E" w:rsidP="004563BC">
      <w:pPr>
        <w:pStyle w:val="Default"/>
        <w:spacing w:before="120" w:after="120" w:line="360" w:lineRule="auto"/>
        <w:ind w:left="567"/>
        <w:jc w:val="both"/>
        <w:rPr>
          <w:sz w:val="22"/>
          <w:szCs w:val="22"/>
        </w:rPr>
      </w:pPr>
      <w:r w:rsidRPr="00E57DA5">
        <w:rPr>
          <w:sz w:val="22"/>
          <w:szCs w:val="22"/>
        </w:rPr>
        <w:t>2. Anche l´attività della pubblica amministrazione deve essere finalizzata a consentire la migliore attuazione possibile del principio dello sviluppo sostenibile, per cui nell´ambito della scelta comparativa di interessi pubblici e privati connotata da discrezionalità gli interessi alla tutela dell´ambiente e del patrimonio culturale devono essere oggetto di prioritaria considerazione.</w:t>
      </w:r>
    </w:p>
    <w:p w:rsidR="00C6050E" w:rsidRPr="00E57DA5" w:rsidRDefault="00C6050E" w:rsidP="004563BC">
      <w:pPr>
        <w:pStyle w:val="Default"/>
        <w:spacing w:before="120" w:after="120" w:line="360" w:lineRule="auto"/>
        <w:jc w:val="both"/>
        <w:rPr>
          <w:sz w:val="22"/>
          <w:szCs w:val="22"/>
          <w:shd w:val="clear" w:color="auto" w:fill="FFFFFF"/>
        </w:rPr>
      </w:pPr>
    </w:p>
    <w:p w:rsidR="00C6050E" w:rsidRPr="00E57DA5" w:rsidRDefault="00C6050E" w:rsidP="004563BC">
      <w:pPr>
        <w:pStyle w:val="Default"/>
        <w:spacing w:before="120" w:after="120" w:line="360" w:lineRule="auto"/>
        <w:jc w:val="both"/>
        <w:rPr>
          <w:sz w:val="22"/>
          <w:szCs w:val="22"/>
        </w:rPr>
      </w:pPr>
      <w:r w:rsidRPr="00E57DA5">
        <w:rPr>
          <w:sz w:val="22"/>
          <w:szCs w:val="22"/>
        </w:rPr>
        <w:t>Si ritiene applicabile all’elettrosmog gli articoli della Legge del 22 maggio 2015, n. 68 “Disposizioni in materia di delitti contro l'ambiente”</w:t>
      </w:r>
      <w:r w:rsidRPr="00E57DA5">
        <w:rPr>
          <w:sz w:val="22"/>
          <w:szCs w:val="22"/>
          <w:vertAlign w:val="superscript"/>
        </w:rPr>
        <w:footnoteReference w:id="10"/>
      </w:r>
      <w:r w:rsidRPr="00E57DA5">
        <w:rPr>
          <w:sz w:val="22"/>
          <w:szCs w:val="22"/>
          <w:vertAlign w:val="superscript"/>
        </w:rPr>
        <w:t xml:space="preserve"> </w:t>
      </w:r>
      <w:r w:rsidRPr="00E57DA5">
        <w:rPr>
          <w:sz w:val="22"/>
          <w:szCs w:val="22"/>
        </w:rPr>
        <w:t>in quanto si tratta di una forma di inquinamento dell’atmosfera.</w:t>
      </w:r>
    </w:p>
    <w:p w:rsidR="00C6050E" w:rsidRPr="00E57DA5" w:rsidRDefault="00C6050E" w:rsidP="004563BC">
      <w:pPr>
        <w:pStyle w:val="Default"/>
        <w:spacing w:before="120" w:after="120" w:line="360" w:lineRule="auto"/>
        <w:jc w:val="both"/>
        <w:rPr>
          <w:sz w:val="22"/>
          <w:szCs w:val="22"/>
        </w:rPr>
      </w:pPr>
    </w:p>
    <w:p w:rsidR="00C6050E" w:rsidRPr="00E57DA5" w:rsidRDefault="00C6050E" w:rsidP="004563BC">
      <w:pPr>
        <w:pStyle w:val="Default"/>
        <w:spacing w:before="120" w:after="120" w:line="360" w:lineRule="auto"/>
        <w:ind w:left="567"/>
        <w:jc w:val="both"/>
        <w:rPr>
          <w:b/>
          <w:i/>
          <w:sz w:val="22"/>
          <w:szCs w:val="22"/>
          <w:shd w:val="clear" w:color="auto" w:fill="FFFFFF"/>
        </w:rPr>
      </w:pPr>
      <w:r w:rsidRPr="00E57DA5">
        <w:rPr>
          <w:b/>
          <w:i/>
          <w:sz w:val="22"/>
          <w:szCs w:val="22"/>
          <w:shd w:val="clear" w:color="auto" w:fill="FFFFFF"/>
        </w:rPr>
        <w:t xml:space="preserve">Titolo VI-bis - Dei delitti contro l'ambiente. </w:t>
      </w:r>
    </w:p>
    <w:p w:rsidR="00C6050E" w:rsidRPr="00E57DA5" w:rsidRDefault="00C6050E" w:rsidP="004563BC">
      <w:pPr>
        <w:pStyle w:val="Default"/>
        <w:spacing w:before="120" w:after="120" w:line="360" w:lineRule="auto"/>
        <w:ind w:left="567"/>
        <w:jc w:val="both"/>
        <w:rPr>
          <w:sz w:val="22"/>
          <w:szCs w:val="22"/>
          <w:shd w:val="clear" w:color="auto" w:fill="FFFFFF"/>
        </w:rPr>
      </w:pPr>
      <w:r w:rsidRPr="00E57DA5">
        <w:rPr>
          <w:sz w:val="22"/>
          <w:szCs w:val="22"/>
          <w:shd w:val="clear" w:color="auto" w:fill="FFFFFF"/>
        </w:rPr>
        <w:t xml:space="preserve">Art. 452-bis. (Inquinamento  ambientale). </w:t>
      </w:r>
    </w:p>
    <w:p w:rsidR="00C6050E" w:rsidRPr="00E57DA5" w:rsidRDefault="00C6050E" w:rsidP="004563BC">
      <w:pPr>
        <w:pStyle w:val="Default"/>
        <w:spacing w:before="120" w:after="120" w:line="360" w:lineRule="auto"/>
        <w:ind w:left="567"/>
        <w:jc w:val="both"/>
        <w:rPr>
          <w:sz w:val="22"/>
          <w:szCs w:val="22"/>
          <w:shd w:val="clear" w:color="auto" w:fill="FFFFFF"/>
        </w:rPr>
      </w:pPr>
      <w:r w:rsidRPr="00E57DA5">
        <w:rPr>
          <w:sz w:val="22"/>
          <w:szCs w:val="22"/>
          <w:shd w:val="clear" w:color="auto" w:fill="FFFFFF"/>
        </w:rPr>
        <w:t>È  punito con la reclusione da due a sei anni e con la multa da euro  10.000 a euro 100.000  chiunque abusivamente cagiona una compromissione o un deterioramento significativi e misurabili: 1) delle acque o dell'aria, o di porzioni estese o significative del suolo o del sottosuolo (…)</w:t>
      </w:r>
    </w:p>
    <w:p w:rsidR="00C6050E" w:rsidRPr="00E57DA5" w:rsidRDefault="00C6050E" w:rsidP="004563BC">
      <w:pPr>
        <w:pStyle w:val="Default"/>
        <w:spacing w:before="120" w:after="120" w:line="360" w:lineRule="auto"/>
        <w:ind w:left="567"/>
        <w:jc w:val="both"/>
        <w:rPr>
          <w:sz w:val="22"/>
          <w:szCs w:val="22"/>
          <w:shd w:val="clear" w:color="auto" w:fill="FFFFFF"/>
        </w:rPr>
      </w:pPr>
    </w:p>
    <w:p w:rsidR="00C6050E" w:rsidRPr="00E57DA5" w:rsidRDefault="00C6050E" w:rsidP="004563BC">
      <w:pPr>
        <w:pStyle w:val="Default"/>
        <w:spacing w:before="120" w:after="120" w:line="360" w:lineRule="auto"/>
        <w:ind w:left="567"/>
        <w:jc w:val="both"/>
        <w:rPr>
          <w:sz w:val="22"/>
          <w:szCs w:val="22"/>
          <w:shd w:val="clear" w:color="auto" w:fill="FFFFFF"/>
        </w:rPr>
      </w:pPr>
      <w:r w:rsidRPr="00E57DA5">
        <w:rPr>
          <w:b/>
          <w:i/>
          <w:sz w:val="22"/>
          <w:szCs w:val="22"/>
          <w:shd w:val="clear" w:color="auto" w:fill="FFFFFF"/>
        </w:rPr>
        <w:t>Art. 452-ter. (Morte o lesioni come conseguenza  del  delitto  di inquinamento ambientale).-</w:t>
      </w:r>
      <w:r w:rsidRPr="00E57DA5">
        <w:rPr>
          <w:sz w:val="22"/>
          <w:szCs w:val="22"/>
          <w:shd w:val="clear" w:color="auto" w:fill="FFFFFF"/>
        </w:rPr>
        <w:t xml:space="preserve"> Se da uno dei fatti di cui all'articolo 452-bis deriva, quale conseguenza non voluta dal  reo, una lesione personale, ad eccezione delle ipotesi in cui la malattia ha una durata non superiore ai venti giorni, si applica la pena della reclusione da due anni e sei mesi a sette anni; se ne deriva una lesione grave, la pena della reclusione da tre a otto anni; se ne deriva una lesione gravissima, la pena della reclusione da quattro a nove anni; se ne deriva la morte, la pena della reclusione da  cinque a dieci anni. </w:t>
      </w:r>
    </w:p>
    <w:p w:rsidR="00C6050E" w:rsidRPr="00E57DA5" w:rsidRDefault="00C6050E" w:rsidP="004563BC">
      <w:pPr>
        <w:pStyle w:val="Default"/>
        <w:spacing w:before="120" w:after="120" w:line="360" w:lineRule="auto"/>
        <w:ind w:left="567"/>
        <w:jc w:val="both"/>
        <w:rPr>
          <w:sz w:val="22"/>
          <w:szCs w:val="22"/>
          <w:shd w:val="clear" w:color="auto" w:fill="FFFFFF"/>
        </w:rPr>
      </w:pPr>
      <w:r w:rsidRPr="00E57DA5">
        <w:rPr>
          <w:sz w:val="22"/>
          <w:szCs w:val="22"/>
          <w:shd w:val="clear" w:color="auto" w:fill="FFFFFF"/>
        </w:rPr>
        <w:t>Nel caso di morte di più persone, di lesioni di più persone, ovvero di morte di una o  più  persone e  lesioni  di una o  più persone, si applica la pena che dovrebbe  infliggersi  per  l'ipotesi più grave, aumentata fino al triplo, ma la pena della reclusione non può superare gli anni venti.</w:t>
      </w:r>
    </w:p>
    <w:p w:rsidR="00C6050E" w:rsidRPr="00E57DA5" w:rsidRDefault="00C6050E" w:rsidP="004563BC">
      <w:pPr>
        <w:pStyle w:val="Default"/>
        <w:spacing w:before="120" w:after="120" w:line="360" w:lineRule="auto"/>
        <w:jc w:val="both"/>
        <w:rPr>
          <w:sz w:val="22"/>
          <w:szCs w:val="22"/>
          <w:shd w:val="clear" w:color="auto" w:fill="FFFFFF"/>
        </w:rPr>
      </w:pPr>
    </w:p>
    <w:p w:rsidR="0041499E" w:rsidRPr="00E57DA5" w:rsidRDefault="0041499E" w:rsidP="004563BC">
      <w:pPr>
        <w:pStyle w:val="Default"/>
        <w:spacing w:before="120" w:after="120" w:line="360" w:lineRule="auto"/>
        <w:jc w:val="both"/>
        <w:rPr>
          <w:sz w:val="22"/>
          <w:szCs w:val="22"/>
        </w:rPr>
      </w:pPr>
      <w:r w:rsidRPr="00E57DA5">
        <w:rPr>
          <w:sz w:val="22"/>
          <w:szCs w:val="22"/>
        </w:rPr>
        <w:lastRenderedPageBreak/>
        <w:t xml:space="preserve">In caso di disattenzione rispetto a quanto sopra espresso relativamente alla necessità di inattivare un impianto di cui non vi è garanzia di assenza di danni a persone, con particolare riferimento a quelle sensibili, e in mancanza di adeguata documentazione nel merito ci periteremo di costituirci parte civile </w:t>
      </w:r>
      <w:r w:rsidR="000770AE" w:rsidRPr="00E57DA5">
        <w:rPr>
          <w:sz w:val="22"/>
          <w:szCs w:val="22"/>
        </w:rPr>
        <w:t xml:space="preserve">contro i </w:t>
      </w:r>
      <w:r w:rsidRPr="00E57DA5">
        <w:rPr>
          <w:sz w:val="22"/>
          <w:szCs w:val="22"/>
        </w:rPr>
        <w:t>responsabile della</w:t>
      </w:r>
      <w:r w:rsidR="000770AE" w:rsidRPr="00E57DA5">
        <w:rPr>
          <w:sz w:val="22"/>
          <w:szCs w:val="22"/>
        </w:rPr>
        <w:t xml:space="preserve"> mancata</w:t>
      </w:r>
      <w:r w:rsidRPr="00E57DA5">
        <w:rPr>
          <w:sz w:val="22"/>
          <w:szCs w:val="22"/>
        </w:rPr>
        <w:t xml:space="preserve"> tutela della mia salute.</w:t>
      </w:r>
    </w:p>
    <w:p w:rsidR="00537859" w:rsidRPr="00E57DA5" w:rsidRDefault="00537859" w:rsidP="004563BC">
      <w:pPr>
        <w:pStyle w:val="Default"/>
        <w:spacing w:before="120" w:after="120" w:line="360" w:lineRule="auto"/>
        <w:jc w:val="both"/>
        <w:rPr>
          <w:sz w:val="22"/>
          <w:szCs w:val="22"/>
        </w:rPr>
      </w:pPr>
      <w:r w:rsidRPr="00E57DA5">
        <w:rPr>
          <w:sz w:val="22"/>
          <w:szCs w:val="22"/>
        </w:rPr>
        <w:t>Ogni conseguenza derivante dalla imposizione del dispositivo in oggetto e la lesiva esposizione alle suddette radiazioni, come già documentata, sarà imputabile alla società installante, al privato responsabile dell’installazione e al Sinda</w:t>
      </w:r>
      <w:r w:rsidR="00027A82" w:rsidRPr="00E57DA5">
        <w:rPr>
          <w:sz w:val="22"/>
          <w:szCs w:val="22"/>
        </w:rPr>
        <w:t>c</w:t>
      </w:r>
      <w:r w:rsidRPr="00E57DA5">
        <w:rPr>
          <w:sz w:val="22"/>
          <w:szCs w:val="22"/>
        </w:rPr>
        <w:t>o in quanto tutore della salute pubblica con la conseguente richiesta di risarcimento danni patrimoniali e non patrimoniali.</w:t>
      </w:r>
    </w:p>
    <w:p w:rsidR="00537859" w:rsidRPr="00E57DA5" w:rsidRDefault="00537859" w:rsidP="004563BC">
      <w:pPr>
        <w:pStyle w:val="Default"/>
        <w:spacing w:before="120" w:after="120" w:line="360" w:lineRule="auto"/>
        <w:jc w:val="both"/>
        <w:rPr>
          <w:sz w:val="22"/>
          <w:szCs w:val="22"/>
        </w:rPr>
      </w:pPr>
    </w:p>
    <w:p w:rsidR="00027A82" w:rsidRPr="00E57DA5" w:rsidRDefault="00027A82" w:rsidP="004563BC">
      <w:pPr>
        <w:pStyle w:val="Default"/>
        <w:spacing w:before="120" w:after="120" w:line="360" w:lineRule="auto"/>
        <w:jc w:val="both"/>
        <w:rPr>
          <w:sz w:val="22"/>
          <w:szCs w:val="22"/>
        </w:rPr>
      </w:pPr>
      <w:r w:rsidRPr="00E57DA5">
        <w:rPr>
          <w:sz w:val="22"/>
          <w:szCs w:val="22"/>
        </w:rPr>
        <w:t>Data,</w:t>
      </w:r>
    </w:p>
    <w:p w:rsidR="00027A82" w:rsidRPr="00E57DA5" w:rsidRDefault="00027A82" w:rsidP="004563BC">
      <w:pPr>
        <w:pStyle w:val="Default"/>
        <w:spacing w:before="120" w:after="120" w:line="360" w:lineRule="auto"/>
        <w:jc w:val="both"/>
        <w:rPr>
          <w:sz w:val="22"/>
          <w:szCs w:val="22"/>
        </w:rPr>
      </w:pPr>
      <w:r w:rsidRPr="00E57DA5">
        <w:rPr>
          <w:sz w:val="22"/>
          <w:szCs w:val="22"/>
        </w:rPr>
        <w:t>Firma</w:t>
      </w:r>
    </w:p>
    <w:p w:rsidR="00AA038D" w:rsidRDefault="00AA038D">
      <w:pPr>
        <w:rPr>
          <w:rFonts w:ascii="Times New Roman" w:hAnsi="Times New Roman" w:cs="Times New Roman"/>
        </w:rPr>
      </w:pPr>
      <w:r>
        <w:rPr>
          <w:rFonts w:ascii="Times New Roman" w:hAnsi="Times New Roman" w:cs="Times New Roman"/>
        </w:rPr>
        <w:br w:type="page"/>
      </w:r>
    </w:p>
    <w:p w:rsidR="00C6050E" w:rsidRPr="00E57DA5" w:rsidRDefault="00C6050E" w:rsidP="004563BC">
      <w:pPr>
        <w:spacing w:before="120" w:after="120" w:line="360" w:lineRule="auto"/>
        <w:jc w:val="both"/>
        <w:rPr>
          <w:rFonts w:ascii="Times New Roman" w:hAnsi="Times New Roman" w:cs="Times New Roman"/>
        </w:rPr>
      </w:pPr>
    </w:p>
    <w:p w:rsidR="0093687B" w:rsidRDefault="00027A82" w:rsidP="004563BC">
      <w:pPr>
        <w:spacing w:before="120" w:after="120" w:line="360" w:lineRule="auto"/>
        <w:jc w:val="both"/>
        <w:rPr>
          <w:rFonts w:ascii="Times New Roman" w:hAnsi="Times New Roman" w:cs="Times New Roman"/>
          <w:color w:val="365F91" w:themeColor="accent1" w:themeShade="BF"/>
        </w:rPr>
      </w:pPr>
      <w:r w:rsidRPr="004563BC">
        <w:rPr>
          <w:rFonts w:ascii="Times New Roman" w:hAnsi="Times New Roman" w:cs="Times New Roman"/>
          <w:color w:val="365F91" w:themeColor="accent1" w:themeShade="BF"/>
        </w:rPr>
        <w:t>Può essere opportuno dopo la segnalazione e in assenza di risposta, inviare al Sindaco un</w:t>
      </w:r>
      <w:r w:rsidR="003A63AF" w:rsidRPr="004563BC">
        <w:rPr>
          <w:rFonts w:ascii="Times New Roman" w:hAnsi="Times New Roman" w:cs="Times New Roman"/>
          <w:color w:val="365F91" w:themeColor="accent1" w:themeShade="BF"/>
        </w:rPr>
        <w:t xml:space="preserve">a richiesta di </w:t>
      </w:r>
      <w:r w:rsidRPr="004563BC">
        <w:rPr>
          <w:rFonts w:ascii="Times New Roman" w:hAnsi="Times New Roman" w:cs="Times New Roman"/>
          <w:color w:val="365F91" w:themeColor="accent1" w:themeShade="BF"/>
        </w:rPr>
        <w:t>assunzione di responsabilità rispetto all’inazione relativa alla segnalazione avvenuta.</w:t>
      </w:r>
      <w:r w:rsidR="003A63AF" w:rsidRPr="004563BC">
        <w:rPr>
          <w:rFonts w:ascii="Times New Roman" w:hAnsi="Times New Roman" w:cs="Times New Roman"/>
          <w:color w:val="365F91" w:themeColor="accent1" w:themeShade="BF"/>
        </w:rPr>
        <w:t xml:space="preserve"> Se il Sindaco la rifiuta è opportuno diffondere tramite Comunicato Stampa e comunicandolo ad associazioni di fiducia il comportamento del responsabile cittadino della salute pubblica. Ovviamente la consegna dovrebbe avvenire tramite protocollo. La stessa tipologia di dichiarazione può essere inviata opportunamente modificata alla Ditta responsabile dell’installazione. </w:t>
      </w:r>
    </w:p>
    <w:p w:rsidR="007A25B0" w:rsidRDefault="007A25B0" w:rsidP="004563BC">
      <w:pPr>
        <w:spacing w:before="120" w:after="120" w:line="360" w:lineRule="auto"/>
        <w:jc w:val="both"/>
        <w:rPr>
          <w:rFonts w:ascii="Times New Roman" w:hAnsi="Times New Roman" w:cs="Times New Roman"/>
          <w:b/>
        </w:rPr>
      </w:pPr>
      <w:bookmarkStart w:id="0" w:name="_Toc490215089"/>
    </w:p>
    <w:p w:rsidR="00B57BF8" w:rsidRPr="00E57DA5" w:rsidRDefault="00B57BF8" w:rsidP="004563BC">
      <w:pPr>
        <w:spacing w:before="120" w:after="120" w:line="360" w:lineRule="auto"/>
        <w:jc w:val="both"/>
        <w:rPr>
          <w:rFonts w:ascii="Times New Roman" w:hAnsi="Times New Roman" w:cs="Times New Roman"/>
          <w:b/>
        </w:rPr>
      </w:pPr>
      <w:bookmarkStart w:id="1" w:name="_GoBack"/>
      <w:bookmarkEnd w:id="1"/>
      <w:r w:rsidRPr="00E57DA5">
        <w:rPr>
          <w:rFonts w:ascii="Times New Roman" w:hAnsi="Times New Roman" w:cs="Times New Roman"/>
          <w:b/>
        </w:rPr>
        <w:t xml:space="preserve">Dichiarazione di responsabilità </w:t>
      </w:r>
      <w:bookmarkEnd w:id="0"/>
      <w:r w:rsidRPr="00E57DA5">
        <w:rPr>
          <w:rFonts w:ascii="Times New Roman" w:hAnsi="Times New Roman" w:cs="Times New Roman"/>
          <w:b/>
        </w:rPr>
        <w:t xml:space="preserve">del </w:t>
      </w:r>
      <w:r w:rsidRPr="00E57DA5">
        <w:rPr>
          <w:rFonts w:ascii="Times New Roman" w:hAnsi="Times New Roman" w:cs="Times New Roman"/>
          <w:b/>
          <w:color w:val="FF0000"/>
        </w:rPr>
        <w:t>(Sindaco o installatore)</w:t>
      </w:r>
    </w:p>
    <w:p w:rsidR="00B57BF8" w:rsidRPr="00E57DA5" w:rsidRDefault="00B57BF8" w:rsidP="004563BC">
      <w:pPr>
        <w:spacing w:before="120" w:after="120" w:line="360" w:lineRule="auto"/>
        <w:jc w:val="both"/>
        <w:rPr>
          <w:rFonts w:ascii="Times New Roman" w:hAnsi="Times New Roman" w:cs="Times New Roman"/>
        </w:rPr>
      </w:pPr>
      <w:r w:rsidRPr="00E57DA5">
        <w:rPr>
          <w:rFonts w:ascii="Times New Roman" w:hAnsi="Times New Roman" w:cs="Times New Roman"/>
        </w:rPr>
        <w:t xml:space="preserve">il sottoscritto </w:t>
      </w:r>
      <w:r w:rsidRPr="00E57DA5">
        <w:rPr>
          <w:rFonts w:ascii="Times New Roman" w:hAnsi="Times New Roman" w:cs="Times New Roman"/>
          <w:color w:val="FF0000"/>
        </w:rPr>
        <w:t xml:space="preserve">(nome e cognome) </w:t>
      </w:r>
      <w:r w:rsidRPr="00E57DA5">
        <w:rPr>
          <w:rFonts w:ascii="Times New Roman" w:hAnsi="Times New Roman" w:cs="Times New Roman"/>
        </w:rPr>
        <w:t xml:space="preserve">in qualità di </w:t>
      </w:r>
      <w:r w:rsidR="00C6050E" w:rsidRPr="00E57DA5">
        <w:rPr>
          <w:rFonts w:ascii="Times New Roman" w:hAnsi="Times New Roman" w:cs="Times New Roman"/>
        </w:rPr>
        <w:t>Sindaco</w:t>
      </w:r>
      <w:r w:rsidR="00027A82" w:rsidRPr="00E57DA5">
        <w:rPr>
          <w:rFonts w:ascii="Times New Roman" w:hAnsi="Times New Roman" w:cs="Times New Roman"/>
        </w:rPr>
        <w:t xml:space="preserve"> (</w:t>
      </w:r>
      <w:r w:rsidR="00027A82" w:rsidRPr="00E57DA5">
        <w:rPr>
          <w:rFonts w:ascii="Times New Roman" w:hAnsi="Times New Roman" w:cs="Times New Roman"/>
          <w:color w:val="FF0000"/>
        </w:rPr>
        <w:t>o impresa</w:t>
      </w:r>
      <w:r w:rsidR="00027A82" w:rsidRPr="00E57DA5">
        <w:rPr>
          <w:rFonts w:ascii="Times New Roman" w:hAnsi="Times New Roman" w:cs="Times New Roman"/>
        </w:rPr>
        <w:t>)</w:t>
      </w:r>
      <w:r w:rsidRPr="00E57DA5">
        <w:rPr>
          <w:rFonts w:ascii="Times New Roman" w:hAnsi="Times New Roman" w:cs="Times New Roman"/>
        </w:rPr>
        <w:t xml:space="preserve"> del Comune di </w:t>
      </w:r>
      <w:r w:rsidR="00027A82" w:rsidRPr="00E57DA5">
        <w:rPr>
          <w:rFonts w:ascii="Times New Roman" w:hAnsi="Times New Roman" w:cs="Times New Roman"/>
        </w:rPr>
        <w:t>(</w:t>
      </w:r>
      <w:r w:rsidR="00027A82" w:rsidRPr="00E57DA5">
        <w:rPr>
          <w:rFonts w:ascii="Times New Roman" w:hAnsi="Times New Roman" w:cs="Times New Roman"/>
          <w:color w:val="FF0000"/>
        </w:rPr>
        <w:t>nel caso di impresa mettere indirizzo della sede principale</w:t>
      </w:r>
      <w:r w:rsidR="00027A82" w:rsidRPr="00E57DA5">
        <w:rPr>
          <w:rFonts w:ascii="Times New Roman" w:hAnsi="Times New Roman" w:cs="Times New Roman"/>
        </w:rPr>
        <w:t xml:space="preserve">) </w:t>
      </w:r>
      <w:r w:rsidRPr="00E57DA5">
        <w:rPr>
          <w:rFonts w:ascii="Times New Roman" w:hAnsi="Times New Roman" w:cs="Times New Roman"/>
        </w:rPr>
        <w:t xml:space="preserve"> in riferimento a quanto segnalato da </w:t>
      </w:r>
      <w:r w:rsidRPr="00E57DA5">
        <w:rPr>
          <w:rFonts w:ascii="Times New Roman" w:hAnsi="Times New Roman" w:cs="Times New Roman"/>
          <w:color w:val="FF0000"/>
        </w:rPr>
        <w:t>(nome e cognome se persona, indirizzo se condominio)</w:t>
      </w:r>
      <w:r w:rsidRPr="00E57DA5">
        <w:rPr>
          <w:rFonts w:ascii="Times New Roman" w:hAnsi="Times New Roman" w:cs="Times New Roman"/>
        </w:rPr>
        <w:t xml:space="preserve"> domiciliato in </w:t>
      </w:r>
      <w:r w:rsidRPr="00E57DA5">
        <w:rPr>
          <w:rFonts w:ascii="Times New Roman" w:hAnsi="Times New Roman" w:cs="Times New Roman"/>
          <w:color w:val="FF0000"/>
        </w:rPr>
        <w:t xml:space="preserve">(indirizzo) </w:t>
      </w:r>
      <w:r w:rsidRPr="00E57DA5">
        <w:rPr>
          <w:rFonts w:ascii="Times New Roman" w:hAnsi="Times New Roman" w:cs="Times New Roman"/>
        </w:rPr>
        <w:t>con la presente dichiara di assumersi ogni responsabilità rispetto ai possibili danni o effetti collaterali che dovessero essere contratti dagli abitanti dell’</w:t>
      </w:r>
      <w:r w:rsidRPr="00E57DA5">
        <w:rPr>
          <w:rFonts w:ascii="Times New Roman" w:hAnsi="Times New Roman" w:cs="Times New Roman"/>
          <w:color w:val="FF0000"/>
        </w:rPr>
        <w:t xml:space="preserve">abitazione/condominio </w:t>
      </w:r>
      <w:r w:rsidRPr="00E57DA5">
        <w:rPr>
          <w:rFonts w:ascii="Times New Roman" w:hAnsi="Times New Roman" w:cs="Times New Roman"/>
        </w:rPr>
        <w:t xml:space="preserve">sita in </w:t>
      </w:r>
      <w:r w:rsidRPr="00E57DA5">
        <w:rPr>
          <w:rFonts w:ascii="Times New Roman" w:hAnsi="Times New Roman" w:cs="Times New Roman"/>
          <w:color w:val="FF0000"/>
        </w:rPr>
        <w:t>(indirizzo)</w:t>
      </w:r>
      <w:r w:rsidRPr="00E57DA5">
        <w:rPr>
          <w:rFonts w:ascii="Times New Roman" w:hAnsi="Times New Roman" w:cs="Times New Roman"/>
        </w:rPr>
        <w:t xml:space="preserve"> in conseguenza della diffusione dei seguenti prodotti </w:t>
      </w:r>
      <w:r w:rsidR="00150B88" w:rsidRPr="00E57DA5">
        <w:rPr>
          <w:rFonts w:ascii="Times New Roman" w:hAnsi="Times New Roman" w:cs="Times New Roman"/>
          <w:color w:val="FF0000"/>
        </w:rPr>
        <w:t xml:space="preserve">(specificare il modello del dispositivo e la funzionalità) </w:t>
      </w:r>
      <w:r w:rsidRPr="00E57DA5">
        <w:rPr>
          <w:rFonts w:ascii="Times New Roman" w:hAnsi="Times New Roman" w:cs="Times New Roman"/>
        </w:rPr>
        <w:t xml:space="preserve">installati senza la loro autorizzazione in </w:t>
      </w:r>
      <w:r w:rsidRPr="00E57DA5">
        <w:rPr>
          <w:rFonts w:ascii="Times New Roman" w:hAnsi="Times New Roman" w:cs="Times New Roman"/>
          <w:color w:val="FF0000"/>
        </w:rPr>
        <w:t xml:space="preserve">(prossimità o all’interno) </w:t>
      </w:r>
      <w:r w:rsidRPr="00E57DA5">
        <w:rPr>
          <w:rFonts w:ascii="Times New Roman" w:hAnsi="Times New Roman" w:cs="Times New Roman"/>
        </w:rPr>
        <w:t>della loro abitazione.</w:t>
      </w:r>
    </w:p>
    <w:p w:rsidR="00B57BF8" w:rsidRPr="00E57DA5" w:rsidRDefault="00B57BF8" w:rsidP="004563BC">
      <w:pPr>
        <w:spacing w:before="120" w:after="120" w:line="360" w:lineRule="auto"/>
        <w:jc w:val="both"/>
        <w:rPr>
          <w:rFonts w:ascii="Times New Roman" w:hAnsi="Times New Roman" w:cs="Times New Roman"/>
        </w:rPr>
      </w:pPr>
      <w:r w:rsidRPr="00E57DA5">
        <w:rPr>
          <w:rFonts w:ascii="Times New Roman" w:hAnsi="Times New Roman" w:cs="Times New Roman"/>
        </w:rPr>
        <w:t>Dichiaro, inoltre, di essere a conoscenza dei possibili effetti collaterali dei prodotti che si diffondono nell’abitazione in oggetto per l’attività intrinseca del dispositivo;</w:t>
      </w:r>
    </w:p>
    <w:p w:rsidR="00B57BF8" w:rsidRPr="00E57DA5" w:rsidRDefault="00B57BF8" w:rsidP="004563BC">
      <w:pPr>
        <w:spacing w:before="120" w:after="120" w:line="360" w:lineRule="auto"/>
        <w:jc w:val="both"/>
        <w:rPr>
          <w:rFonts w:ascii="Times New Roman" w:hAnsi="Times New Roman" w:cs="Times New Roman"/>
        </w:rPr>
      </w:pPr>
      <w:r w:rsidRPr="00E57DA5">
        <w:rPr>
          <w:rFonts w:ascii="Times New Roman" w:hAnsi="Times New Roman" w:cs="Times New Roman"/>
        </w:rPr>
        <w:t>Consapevole delle responsabilità che questo impegno comporta, come stabilito dal principio della responsabilità personale ai sensi del codice Civile (art. 2043- risarcimento per fatto illecito) accetto ogni onere ed aggravio derivante dalla presente dichiarazione.</w:t>
      </w:r>
    </w:p>
    <w:p w:rsidR="00B57BF8" w:rsidRPr="00E57DA5" w:rsidRDefault="00B57BF8" w:rsidP="004563BC">
      <w:pPr>
        <w:pStyle w:val="Default"/>
        <w:spacing w:before="120" w:after="120" w:line="360" w:lineRule="auto"/>
        <w:jc w:val="both"/>
        <w:rPr>
          <w:sz w:val="22"/>
          <w:szCs w:val="22"/>
        </w:rPr>
      </w:pPr>
      <w:r w:rsidRPr="00E57DA5">
        <w:rPr>
          <w:sz w:val="22"/>
          <w:szCs w:val="22"/>
        </w:rPr>
        <w:t xml:space="preserve">Copia di questo documento viene consegnato, da noi sottoscritto, </w:t>
      </w:r>
    </w:p>
    <w:p w:rsidR="00B57BF8" w:rsidRPr="00E57DA5" w:rsidRDefault="00B57BF8" w:rsidP="004563BC">
      <w:pPr>
        <w:pStyle w:val="Default"/>
        <w:spacing w:before="120" w:after="120" w:line="360" w:lineRule="auto"/>
        <w:jc w:val="both"/>
        <w:rPr>
          <w:sz w:val="22"/>
          <w:szCs w:val="22"/>
        </w:rPr>
      </w:pPr>
    </w:p>
    <w:p w:rsidR="00B57BF8" w:rsidRPr="00E57DA5" w:rsidRDefault="00B57BF8" w:rsidP="004563BC">
      <w:pPr>
        <w:pStyle w:val="Default"/>
        <w:spacing w:before="120" w:after="120" w:line="360" w:lineRule="auto"/>
        <w:jc w:val="both"/>
        <w:rPr>
          <w:sz w:val="22"/>
          <w:szCs w:val="22"/>
        </w:rPr>
      </w:pPr>
      <w:r w:rsidRPr="00E57DA5">
        <w:rPr>
          <w:sz w:val="22"/>
          <w:szCs w:val="22"/>
        </w:rPr>
        <w:t>data, ………………………………………………..</w:t>
      </w:r>
    </w:p>
    <w:p w:rsidR="00B57BF8" w:rsidRPr="00E57DA5" w:rsidRDefault="00B57BF8" w:rsidP="004563BC">
      <w:pPr>
        <w:pStyle w:val="Default"/>
        <w:spacing w:before="120" w:after="120" w:line="360" w:lineRule="auto"/>
        <w:jc w:val="both"/>
        <w:rPr>
          <w:sz w:val="22"/>
          <w:szCs w:val="22"/>
        </w:rPr>
      </w:pPr>
      <w:r w:rsidRPr="00E57DA5">
        <w:rPr>
          <w:sz w:val="22"/>
          <w:szCs w:val="22"/>
        </w:rPr>
        <w:t>Il Responsabile timbro e firma</w:t>
      </w:r>
    </w:p>
    <w:p w:rsidR="00B57BF8" w:rsidRPr="00E57DA5" w:rsidRDefault="00B57BF8" w:rsidP="004563BC">
      <w:pPr>
        <w:pStyle w:val="Default"/>
        <w:spacing w:before="120" w:after="120" w:line="360" w:lineRule="auto"/>
        <w:jc w:val="both"/>
        <w:rPr>
          <w:sz w:val="22"/>
          <w:szCs w:val="22"/>
        </w:rPr>
      </w:pPr>
      <w:r w:rsidRPr="00E57DA5">
        <w:rPr>
          <w:sz w:val="22"/>
          <w:szCs w:val="22"/>
        </w:rPr>
        <w:t xml:space="preserve">………………………………………………………………… </w:t>
      </w:r>
    </w:p>
    <w:p w:rsidR="00441DF3" w:rsidRPr="00E57DA5" w:rsidRDefault="00441DF3" w:rsidP="004563BC">
      <w:pPr>
        <w:spacing w:before="120" w:after="120" w:line="360" w:lineRule="auto"/>
        <w:jc w:val="both"/>
        <w:rPr>
          <w:rFonts w:ascii="Times New Roman" w:hAnsi="Times New Roman" w:cs="Times New Roman"/>
        </w:rPr>
      </w:pPr>
    </w:p>
    <w:sectPr w:rsidR="00441DF3" w:rsidRPr="00E57DA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55" w:rsidRDefault="00874855" w:rsidP="00441DF3">
      <w:pPr>
        <w:spacing w:after="0" w:line="240" w:lineRule="auto"/>
      </w:pPr>
      <w:r>
        <w:separator/>
      </w:r>
    </w:p>
  </w:endnote>
  <w:endnote w:type="continuationSeparator" w:id="0">
    <w:p w:rsidR="00874855" w:rsidRDefault="00874855" w:rsidP="0044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836"/>
      <w:docPartObj>
        <w:docPartGallery w:val="Page Numbers (Bottom of Page)"/>
        <w:docPartUnique/>
      </w:docPartObj>
    </w:sdtPr>
    <w:sdtEndPr/>
    <w:sdtContent>
      <w:p w:rsidR="00027A82" w:rsidRDefault="00027A82">
        <w:pPr>
          <w:pStyle w:val="Pidipagina"/>
          <w:jc w:val="right"/>
        </w:pPr>
        <w:r>
          <w:fldChar w:fldCharType="begin"/>
        </w:r>
        <w:r>
          <w:instrText>PAGE   \* MERGEFORMAT</w:instrText>
        </w:r>
        <w:r>
          <w:fldChar w:fldCharType="separate"/>
        </w:r>
        <w:r w:rsidR="007A25B0">
          <w:rPr>
            <w:noProof/>
          </w:rPr>
          <w:t>9</w:t>
        </w:r>
        <w:r>
          <w:fldChar w:fldCharType="end"/>
        </w:r>
      </w:p>
    </w:sdtContent>
  </w:sdt>
  <w:p w:rsidR="00027A82" w:rsidRDefault="00027A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55" w:rsidRDefault="00874855" w:rsidP="00441DF3">
      <w:pPr>
        <w:spacing w:after="0" w:line="240" w:lineRule="auto"/>
      </w:pPr>
      <w:r>
        <w:separator/>
      </w:r>
    </w:p>
  </w:footnote>
  <w:footnote w:type="continuationSeparator" w:id="0">
    <w:p w:rsidR="00874855" w:rsidRDefault="00874855" w:rsidP="00441DF3">
      <w:pPr>
        <w:spacing w:after="0" w:line="240" w:lineRule="auto"/>
      </w:pPr>
      <w:r>
        <w:continuationSeparator/>
      </w:r>
    </w:p>
  </w:footnote>
  <w:footnote w:id="1">
    <w:p w:rsidR="00B53264" w:rsidRPr="00B53264" w:rsidRDefault="00B53264"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Ci riferiamo preliminarmente allo standard per questo tipo di dispositivi.</w:t>
      </w:r>
    </w:p>
  </w:footnote>
  <w:footnote w:id="2">
    <w:p w:rsidR="0041499E" w:rsidRPr="00B53264" w:rsidRDefault="0041499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w:t>
      </w:r>
      <w:r w:rsidR="00AF5FBA" w:rsidRPr="00B53264">
        <w:rPr>
          <w:rFonts w:asciiTheme="minorHAnsi" w:hAnsiTheme="minorHAnsi" w:cstheme="minorHAnsi"/>
        </w:rPr>
        <w:t xml:space="preserve">Per la bibliografia si veda: </w:t>
      </w:r>
      <w:hyperlink r:id="rId1" w:history="1">
        <w:r w:rsidR="00AF5FBA" w:rsidRPr="00B53264">
          <w:rPr>
            <w:rStyle w:val="Collegamentoipertestuale"/>
            <w:rFonts w:asciiTheme="minorHAnsi" w:hAnsiTheme="minorHAnsi" w:cstheme="minorHAnsi"/>
          </w:rPr>
          <w:t>https://www.isde.it/wp-content/uploads/2019/09/Rapporto-indipendente-isde_ec-sui-campi-elettromagnetici-1.pdf</w:t>
        </w:r>
      </w:hyperlink>
    </w:p>
  </w:footnote>
  <w:footnote w:id="3">
    <w:p w:rsidR="007939E8" w:rsidRPr="00B53264" w:rsidRDefault="007939E8" w:rsidP="00B53264">
      <w:pPr>
        <w:spacing w:after="0"/>
        <w:jc w:val="both"/>
        <w:rPr>
          <w:rFonts w:cstheme="minorHAnsi"/>
          <w:sz w:val="20"/>
          <w:szCs w:val="20"/>
        </w:rPr>
      </w:pPr>
      <w:r w:rsidRPr="00B53264">
        <w:rPr>
          <w:rStyle w:val="Rimandonotaapidipagina"/>
          <w:rFonts w:cstheme="minorHAnsi"/>
          <w:sz w:val="20"/>
          <w:szCs w:val="20"/>
        </w:rPr>
        <w:footnoteRef/>
      </w:r>
      <w:r w:rsidRPr="00B53264">
        <w:rPr>
          <w:rFonts w:cstheme="minorHAnsi"/>
          <w:sz w:val="20"/>
          <w:szCs w:val="20"/>
        </w:rPr>
        <w:t xml:space="preserve"> </w:t>
      </w:r>
      <w:proofErr w:type="spellStart"/>
      <w:r w:rsidRPr="00B53264">
        <w:rPr>
          <w:rFonts w:cstheme="minorHAnsi"/>
          <w:sz w:val="20"/>
          <w:szCs w:val="20"/>
        </w:rPr>
        <w:t>Belyaev</w:t>
      </w:r>
      <w:proofErr w:type="spellEnd"/>
      <w:r w:rsidRPr="00B53264">
        <w:rPr>
          <w:rFonts w:cstheme="minorHAnsi"/>
          <w:sz w:val="20"/>
          <w:szCs w:val="20"/>
        </w:rPr>
        <w:t xml:space="preserve"> I., Dean A., </w:t>
      </w:r>
      <w:proofErr w:type="spellStart"/>
      <w:r w:rsidRPr="00B53264">
        <w:rPr>
          <w:rFonts w:cstheme="minorHAnsi"/>
          <w:sz w:val="20"/>
          <w:szCs w:val="20"/>
        </w:rPr>
        <w:t>Eger</w:t>
      </w:r>
      <w:proofErr w:type="spellEnd"/>
      <w:r w:rsidRPr="00B53264">
        <w:rPr>
          <w:rFonts w:cstheme="minorHAnsi"/>
          <w:sz w:val="20"/>
          <w:szCs w:val="20"/>
        </w:rPr>
        <w:t xml:space="preserve"> H., </w:t>
      </w:r>
      <w:proofErr w:type="spellStart"/>
      <w:r w:rsidRPr="00B53264">
        <w:rPr>
          <w:rFonts w:cstheme="minorHAnsi"/>
          <w:sz w:val="20"/>
          <w:szCs w:val="20"/>
        </w:rPr>
        <w:t>Hubmann</w:t>
      </w:r>
      <w:proofErr w:type="spellEnd"/>
      <w:r w:rsidRPr="00B53264">
        <w:rPr>
          <w:rFonts w:cstheme="minorHAnsi"/>
          <w:sz w:val="20"/>
          <w:szCs w:val="20"/>
        </w:rPr>
        <w:t xml:space="preserve"> G., </w:t>
      </w:r>
      <w:proofErr w:type="spellStart"/>
      <w:r w:rsidRPr="00B53264">
        <w:rPr>
          <w:rFonts w:cstheme="minorHAnsi"/>
          <w:sz w:val="20"/>
          <w:szCs w:val="20"/>
        </w:rPr>
        <w:t>Jandrisovits</w:t>
      </w:r>
      <w:proofErr w:type="spellEnd"/>
      <w:r w:rsidRPr="00B53264">
        <w:rPr>
          <w:rFonts w:cstheme="minorHAnsi"/>
          <w:sz w:val="20"/>
          <w:szCs w:val="20"/>
        </w:rPr>
        <w:t xml:space="preserve"> R., </w:t>
      </w:r>
      <w:proofErr w:type="spellStart"/>
      <w:r w:rsidRPr="00B53264">
        <w:rPr>
          <w:rFonts w:cstheme="minorHAnsi"/>
          <w:sz w:val="20"/>
          <w:szCs w:val="20"/>
        </w:rPr>
        <w:t>Kern</w:t>
      </w:r>
      <w:proofErr w:type="spellEnd"/>
      <w:r w:rsidRPr="00B53264">
        <w:rPr>
          <w:rFonts w:cstheme="minorHAnsi"/>
          <w:sz w:val="20"/>
          <w:szCs w:val="20"/>
        </w:rPr>
        <w:t xml:space="preserve"> M., </w:t>
      </w:r>
      <w:proofErr w:type="spellStart"/>
      <w:r w:rsidRPr="00B53264">
        <w:rPr>
          <w:rFonts w:cstheme="minorHAnsi"/>
          <w:sz w:val="20"/>
          <w:szCs w:val="20"/>
        </w:rPr>
        <w:t>Kundi</w:t>
      </w:r>
      <w:proofErr w:type="spellEnd"/>
      <w:r w:rsidRPr="00B53264">
        <w:rPr>
          <w:rFonts w:cstheme="minorHAnsi"/>
          <w:sz w:val="20"/>
          <w:szCs w:val="20"/>
        </w:rPr>
        <w:t xml:space="preserve"> M., </w:t>
      </w:r>
      <w:proofErr w:type="spellStart"/>
      <w:r w:rsidRPr="00B53264">
        <w:rPr>
          <w:rFonts w:cstheme="minorHAnsi"/>
          <w:sz w:val="20"/>
          <w:szCs w:val="20"/>
        </w:rPr>
        <w:t>Moshammer</w:t>
      </w:r>
      <w:proofErr w:type="spellEnd"/>
      <w:r w:rsidRPr="00B53264">
        <w:rPr>
          <w:rFonts w:cstheme="minorHAnsi"/>
          <w:sz w:val="20"/>
          <w:szCs w:val="20"/>
        </w:rPr>
        <w:t xml:space="preserve"> H., </w:t>
      </w:r>
      <w:proofErr w:type="spellStart"/>
      <w:r w:rsidRPr="00B53264">
        <w:rPr>
          <w:rFonts w:cstheme="minorHAnsi"/>
          <w:sz w:val="20"/>
          <w:szCs w:val="20"/>
        </w:rPr>
        <w:t>Lercher</w:t>
      </w:r>
      <w:proofErr w:type="spellEnd"/>
      <w:r w:rsidRPr="00B53264">
        <w:rPr>
          <w:rFonts w:cstheme="minorHAnsi"/>
          <w:sz w:val="20"/>
          <w:szCs w:val="20"/>
        </w:rPr>
        <w:t xml:space="preserve"> P., Müller K., </w:t>
      </w:r>
      <w:proofErr w:type="spellStart"/>
      <w:r w:rsidRPr="00B53264">
        <w:rPr>
          <w:rFonts w:cstheme="minorHAnsi"/>
          <w:sz w:val="20"/>
          <w:szCs w:val="20"/>
        </w:rPr>
        <w:t>Oberfeld</w:t>
      </w:r>
      <w:proofErr w:type="spellEnd"/>
      <w:r w:rsidRPr="00B53264">
        <w:rPr>
          <w:rFonts w:cstheme="minorHAnsi"/>
          <w:sz w:val="20"/>
          <w:szCs w:val="20"/>
        </w:rPr>
        <w:t xml:space="preserve"> G., </w:t>
      </w:r>
      <w:proofErr w:type="spellStart"/>
      <w:r w:rsidRPr="00B53264">
        <w:rPr>
          <w:rFonts w:cstheme="minorHAnsi"/>
          <w:sz w:val="20"/>
          <w:szCs w:val="20"/>
        </w:rPr>
        <w:t>Ohnsorge</w:t>
      </w:r>
      <w:proofErr w:type="spellEnd"/>
      <w:r w:rsidRPr="00B53264">
        <w:rPr>
          <w:rFonts w:cstheme="minorHAnsi"/>
          <w:sz w:val="20"/>
          <w:szCs w:val="20"/>
        </w:rPr>
        <w:t xml:space="preserve"> P., </w:t>
      </w:r>
      <w:proofErr w:type="spellStart"/>
      <w:r w:rsidRPr="00B53264">
        <w:rPr>
          <w:rFonts w:cstheme="minorHAnsi"/>
          <w:sz w:val="20"/>
          <w:szCs w:val="20"/>
        </w:rPr>
        <w:t>Pelzmann</w:t>
      </w:r>
      <w:proofErr w:type="spellEnd"/>
      <w:r w:rsidRPr="00B53264">
        <w:rPr>
          <w:rFonts w:cstheme="minorHAnsi"/>
          <w:sz w:val="20"/>
          <w:szCs w:val="20"/>
        </w:rPr>
        <w:t xml:space="preserve"> P., </w:t>
      </w:r>
      <w:proofErr w:type="spellStart"/>
      <w:r w:rsidRPr="00B53264">
        <w:rPr>
          <w:rFonts w:cstheme="minorHAnsi"/>
          <w:sz w:val="20"/>
          <w:szCs w:val="20"/>
        </w:rPr>
        <w:t>Scheingraber</w:t>
      </w:r>
      <w:proofErr w:type="spellEnd"/>
      <w:r w:rsidRPr="00B53264">
        <w:rPr>
          <w:rFonts w:cstheme="minorHAnsi"/>
          <w:sz w:val="20"/>
          <w:szCs w:val="20"/>
        </w:rPr>
        <w:t xml:space="preserve"> C., </w:t>
      </w:r>
      <w:proofErr w:type="spellStart"/>
      <w:r w:rsidRPr="00B53264">
        <w:rPr>
          <w:rFonts w:cstheme="minorHAnsi"/>
          <w:sz w:val="20"/>
          <w:szCs w:val="20"/>
        </w:rPr>
        <w:t>Thill</w:t>
      </w:r>
      <w:proofErr w:type="spellEnd"/>
      <w:r w:rsidRPr="00B53264">
        <w:rPr>
          <w:rFonts w:cstheme="minorHAnsi"/>
          <w:sz w:val="20"/>
          <w:szCs w:val="20"/>
        </w:rPr>
        <w:t xml:space="preserve"> R. Linee Guida di EUROPAEM 2016 per la prevenzione, la diagnosi e il trattamento delle malattie e dei problemi sanitari legati ai C.E.M. </w:t>
      </w:r>
      <w:r w:rsidRPr="00B53264">
        <w:rPr>
          <w:rFonts w:cstheme="minorHAnsi"/>
          <w:sz w:val="20"/>
          <w:szCs w:val="20"/>
        </w:rPr>
        <w:tab/>
        <w:t xml:space="preserve"> </w:t>
      </w:r>
      <w:hyperlink r:id="rId2" w:history="1">
        <w:r w:rsidRPr="00B53264">
          <w:rPr>
            <w:rFonts w:cstheme="minorHAnsi"/>
            <w:sz w:val="20"/>
            <w:szCs w:val="20"/>
          </w:rPr>
          <w:t>https://europaem.eu/attachments/article/124/EUROPAEM_EMF_Guideline_2016_Italiano_8_2_2018.pdf</w:t>
        </w:r>
      </w:hyperlink>
    </w:p>
  </w:footnote>
  <w:footnote w:id="4">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Modifiche al decreto legislativo 6 novembre 2007, n. 194, di attuazione della direttiva 2014/30/UE del Parlamento europeo e del Consiglio, del 26 febbraio 2014, concernente l'armonizzazione delle legislazioni degli Stati membri relative alla </w:t>
      </w:r>
      <w:proofErr w:type="spellStart"/>
      <w:r w:rsidRPr="00B53264">
        <w:rPr>
          <w:rFonts w:asciiTheme="minorHAnsi" w:hAnsiTheme="minorHAnsi" w:cstheme="minorHAnsi"/>
        </w:rPr>
        <w:t>compatibilita'</w:t>
      </w:r>
      <w:proofErr w:type="spellEnd"/>
      <w:r w:rsidRPr="00B53264">
        <w:rPr>
          <w:rFonts w:asciiTheme="minorHAnsi" w:hAnsiTheme="minorHAnsi" w:cstheme="minorHAnsi"/>
        </w:rPr>
        <w:t xml:space="preserve"> elettromagnetica (rifusione). GU Serie Generale n.121 del 25-05-2016 - </w:t>
      </w:r>
      <w:proofErr w:type="spellStart"/>
      <w:r w:rsidRPr="00B53264">
        <w:rPr>
          <w:rFonts w:asciiTheme="minorHAnsi" w:hAnsiTheme="minorHAnsi" w:cstheme="minorHAnsi"/>
        </w:rPr>
        <w:t>Suppl</w:t>
      </w:r>
      <w:proofErr w:type="spellEnd"/>
      <w:r w:rsidRPr="00B53264">
        <w:rPr>
          <w:rFonts w:asciiTheme="minorHAnsi" w:hAnsiTheme="minorHAnsi" w:cstheme="minorHAnsi"/>
        </w:rPr>
        <w:t xml:space="preserve">. Ordinario  n. 16.  </w:t>
      </w:r>
      <w:hyperlink r:id="rId3" w:history="1">
        <w:r w:rsidRPr="00B53264">
          <w:rPr>
            <w:rStyle w:val="Collegamentoipertestuale"/>
            <w:rFonts w:asciiTheme="minorHAnsi" w:hAnsiTheme="minorHAnsi" w:cstheme="minorHAnsi"/>
          </w:rPr>
          <w:t>https://www.gazzettaufficiale.it/eli/id/2016/05/25/16G00097/sg</w:t>
        </w:r>
      </w:hyperlink>
    </w:p>
  </w:footnote>
  <w:footnote w:id="5">
    <w:p w:rsidR="00441DF3" w:rsidRPr="00B53264" w:rsidRDefault="00441DF3" w:rsidP="00B53264">
      <w:pPr>
        <w:pStyle w:val="Testonotaapidipagina"/>
        <w:spacing w:before="0" w:after="0"/>
        <w:rPr>
          <w:rFonts w:asciiTheme="minorHAnsi" w:hAnsiTheme="minorHAnsi" w:cstheme="minorHAnsi"/>
          <w:lang w:val="en-GB"/>
        </w:rPr>
      </w:pPr>
      <w:r w:rsidRPr="00B53264">
        <w:rPr>
          <w:rStyle w:val="Rimandonotaapidipagina"/>
          <w:rFonts w:asciiTheme="minorHAnsi" w:hAnsiTheme="minorHAnsi" w:cstheme="minorHAnsi"/>
        </w:rPr>
        <w:footnoteRef/>
      </w:r>
      <w:r w:rsidRPr="00B53264">
        <w:rPr>
          <w:rFonts w:asciiTheme="minorHAnsi" w:hAnsiTheme="minorHAnsi" w:cstheme="minorHAnsi"/>
          <w:lang w:val="en-GB"/>
        </w:rPr>
        <w:t xml:space="preserve"> American Academy of Environmental Medicine. Recommendations Regarding Electromagnetic and Radiofrequency Exposure </w:t>
      </w:r>
      <w:r w:rsidR="00874855">
        <w:fldChar w:fldCharType="begin"/>
      </w:r>
      <w:r w:rsidR="00874855" w:rsidRPr="00E57DA5">
        <w:rPr>
          <w:lang w:val="en-GB"/>
        </w:rPr>
        <w:instrText xml:space="preserve"> HYPERLINK "https://www.aaemonline.org/pdf/AAEMEMFmedicalconditions.pdf" </w:instrText>
      </w:r>
      <w:r w:rsidR="00874855">
        <w:fldChar w:fldCharType="separate"/>
      </w:r>
      <w:r w:rsidRPr="00B53264">
        <w:rPr>
          <w:rStyle w:val="Collegamentoipertestuale"/>
          <w:rFonts w:asciiTheme="minorHAnsi" w:hAnsiTheme="minorHAnsi" w:cstheme="minorHAnsi"/>
          <w:lang w:val="en-GB"/>
        </w:rPr>
        <w:t>https://www.aaemonline.org/pdf/AAEMEMFmedicalconditions.pdf</w:t>
      </w:r>
      <w:r w:rsidR="00874855">
        <w:rPr>
          <w:rStyle w:val="Collegamentoipertestuale"/>
          <w:rFonts w:asciiTheme="minorHAnsi" w:hAnsiTheme="minorHAnsi" w:cstheme="minorHAnsi"/>
          <w:lang w:val="en-GB"/>
        </w:rPr>
        <w:fldChar w:fldCharType="end"/>
      </w:r>
    </w:p>
  </w:footnote>
  <w:footnote w:id="6">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Elettrosmog: quale tutela penale? </w:t>
      </w:r>
      <w:hyperlink r:id="rId4" w:history="1">
        <w:r w:rsidRPr="00B53264">
          <w:rPr>
            <w:rStyle w:val="Collegamentoipertestuale"/>
            <w:rFonts w:asciiTheme="minorHAnsi" w:hAnsiTheme="minorHAnsi" w:cstheme="minorHAnsi"/>
          </w:rPr>
          <w:t>https://www.iusinitinere.it/elettrosmog-quale-tutela-penale-6600</w:t>
        </w:r>
      </w:hyperlink>
    </w:p>
  </w:footnote>
  <w:footnote w:id="7">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Il principio di precauzione è citato nell'articolo 191 del trattato sul funzionamento dell'Unione europea (UE). Il suo scopo è garantire un alto livello di protezione dell'ambiente grazie a delle prese di posizione preventive in caso di rischio.</w:t>
      </w:r>
    </w:p>
  </w:footnote>
  <w:footnote w:id="8">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Decreto Legislativo 3 aprile 2006, n. 152 Norme in materia ambientale. (GU Serie Generale n.88 del 14-04-2006 - </w:t>
      </w:r>
      <w:proofErr w:type="spellStart"/>
      <w:r w:rsidRPr="00B53264">
        <w:rPr>
          <w:rFonts w:asciiTheme="minorHAnsi" w:hAnsiTheme="minorHAnsi" w:cstheme="minorHAnsi"/>
        </w:rPr>
        <w:t>Suppl</w:t>
      </w:r>
      <w:proofErr w:type="spellEnd"/>
      <w:r w:rsidRPr="00B53264">
        <w:rPr>
          <w:rFonts w:asciiTheme="minorHAnsi" w:hAnsiTheme="minorHAnsi" w:cstheme="minorHAnsi"/>
        </w:rPr>
        <w:t xml:space="preserve">. Ordinario n. 96) </w:t>
      </w:r>
      <w:hyperlink r:id="rId5" w:history="1">
        <w:r w:rsidRPr="00B53264">
          <w:rPr>
            <w:rStyle w:val="Collegamentoipertestuale"/>
            <w:rFonts w:asciiTheme="minorHAnsi" w:hAnsiTheme="minorHAnsi" w:cstheme="minorHAnsi"/>
          </w:rPr>
          <w:t>https://www.gazzettaufficiale.it/atto/serie_generale/caricaDettaglioAtto/originario?atto.dataPubblicazioneGazzetta=2006-04-14&amp;atto.codiceRedazionale=006G0171</w:t>
        </w:r>
      </w:hyperlink>
    </w:p>
  </w:footnote>
  <w:footnote w:id="9">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Decreto Legislativo 3 aprile 2006, n. 152 "Norme in materia ambientale" pubblicato nella Gazzetta Ufficiale n. 88 del 14 aprile 2006 - Supplemento Ordinario n. 96. http://www.camera.it/parlam/leggi/deleghe/06152dl.htm</w:t>
      </w:r>
    </w:p>
  </w:footnote>
  <w:footnote w:id="10">
    <w:p w:rsidR="00C6050E" w:rsidRPr="00B53264" w:rsidRDefault="00C6050E" w:rsidP="00B53264">
      <w:pPr>
        <w:pStyle w:val="Testonotaapidipagina"/>
        <w:spacing w:before="0" w:after="0"/>
        <w:rPr>
          <w:rFonts w:asciiTheme="minorHAnsi" w:hAnsiTheme="minorHAnsi" w:cstheme="minorHAnsi"/>
        </w:rPr>
      </w:pPr>
      <w:r w:rsidRPr="00B53264">
        <w:rPr>
          <w:rStyle w:val="Rimandonotaapidipagina"/>
          <w:rFonts w:asciiTheme="minorHAnsi" w:hAnsiTheme="minorHAnsi" w:cstheme="minorHAnsi"/>
        </w:rPr>
        <w:footnoteRef/>
      </w:r>
      <w:r w:rsidRPr="00B53264">
        <w:rPr>
          <w:rFonts w:asciiTheme="minorHAnsi" w:hAnsiTheme="minorHAnsi" w:cstheme="minorHAnsi"/>
        </w:rPr>
        <w:t xml:space="preserve"> Legge22 maggio 2015, n. 68 Disposizioni in materia di delitti contro l'ambiente. (15G00082) (GU Serie Generale n.122 del 28-05-2015). </w:t>
      </w:r>
      <w:hyperlink r:id="rId6" w:history="1">
        <w:r w:rsidRPr="00B53264">
          <w:rPr>
            <w:rStyle w:val="Collegamentoipertestuale"/>
            <w:rFonts w:asciiTheme="minorHAnsi" w:hAnsiTheme="minorHAnsi" w:cstheme="minorHAnsi"/>
          </w:rPr>
          <w:t>https://www.gazzettaufficiale.it/eli/id/2015/05/28/15G00082/sg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59" w:rsidRDefault="00537859" w:rsidP="00537859">
    <w:pPr>
      <w:pStyle w:val="Intestazione"/>
      <w:tabs>
        <w:tab w:val="clear" w:pos="4819"/>
        <w:tab w:val="clear" w:pos="9638"/>
        <w:tab w:val="left" w:pos="4710"/>
      </w:tabs>
    </w:pPr>
    <w:r>
      <w:tab/>
    </w:r>
  </w:p>
  <w:p w:rsidR="00537859" w:rsidRDefault="00537859" w:rsidP="00537859">
    <w:pPr>
      <w:pStyle w:val="Intestazione"/>
      <w:tabs>
        <w:tab w:val="clear" w:pos="4819"/>
        <w:tab w:val="clear" w:pos="9638"/>
        <w:tab w:val="left" w:pos="4710"/>
      </w:tabs>
    </w:pPr>
  </w:p>
  <w:p w:rsidR="00537859" w:rsidRDefault="00537859" w:rsidP="00537859">
    <w:pPr>
      <w:pStyle w:val="Intestazione"/>
      <w:tabs>
        <w:tab w:val="clear" w:pos="4819"/>
        <w:tab w:val="clear" w:pos="9638"/>
        <w:tab w:val="left" w:pos="4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E0B07"/>
    <w:multiLevelType w:val="hybridMultilevel"/>
    <w:tmpl w:val="6D0AA324"/>
    <w:lvl w:ilvl="0" w:tplc="D480D0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C8"/>
    <w:rsid w:val="00027A82"/>
    <w:rsid w:val="00045414"/>
    <w:rsid w:val="000770AE"/>
    <w:rsid w:val="00150B88"/>
    <w:rsid w:val="00160778"/>
    <w:rsid w:val="003000BD"/>
    <w:rsid w:val="00316DF3"/>
    <w:rsid w:val="0039244A"/>
    <w:rsid w:val="003A63AF"/>
    <w:rsid w:val="0041499E"/>
    <w:rsid w:val="00441DF3"/>
    <w:rsid w:val="004563BC"/>
    <w:rsid w:val="00537859"/>
    <w:rsid w:val="005530BE"/>
    <w:rsid w:val="00565376"/>
    <w:rsid w:val="00616EFC"/>
    <w:rsid w:val="0064634B"/>
    <w:rsid w:val="007939E8"/>
    <w:rsid w:val="007A25B0"/>
    <w:rsid w:val="007D4F08"/>
    <w:rsid w:val="00874855"/>
    <w:rsid w:val="008E71C3"/>
    <w:rsid w:val="0093687B"/>
    <w:rsid w:val="009800D4"/>
    <w:rsid w:val="00A328B3"/>
    <w:rsid w:val="00AA038D"/>
    <w:rsid w:val="00AF5FBA"/>
    <w:rsid w:val="00B0101F"/>
    <w:rsid w:val="00B53264"/>
    <w:rsid w:val="00B57BF8"/>
    <w:rsid w:val="00BB0FE6"/>
    <w:rsid w:val="00C04A9F"/>
    <w:rsid w:val="00C100F0"/>
    <w:rsid w:val="00C6050E"/>
    <w:rsid w:val="00CC38C0"/>
    <w:rsid w:val="00D87910"/>
    <w:rsid w:val="00DE03FE"/>
    <w:rsid w:val="00E57DA5"/>
    <w:rsid w:val="00EC0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04C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530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0BE"/>
    <w:rPr>
      <w:rFonts w:ascii="Tahoma" w:hAnsi="Tahoma" w:cs="Tahoma"/>
      <w:sz w:val="16"/>
      <w:szCs w:val="16"/>
    </w:rPr>
  </w:style>
  <w:style w:type="paragraph" w:styleId="Paragrafoelenco">
    <w:name w:val="List Paragraph"/>
    <w:basedOn w:val="Normale"/>
    <w:uiPriority w:val="34"/>
    <w:qFormat/>
    <w:rsid w:val="00441DF3"/>
    <w:pPr>
      <w:autoSpaceDE w:val="0"/>
      <w:autoSpaceDN w:val="0"/>
      <w:adjustRightInd w:val="0"/>
      <w:spacing w:before="120" w:after="120" w:line="280" w:lineRule="exact"/>
      <w:ind w:left="720"/>
      <w:contextualSpacing/>
      <w:jc w:val="both"/>
    </w:pPr>
    <w:rPr>
      <w:rFonts w:ascii="Times New Roman" w:hAnsi="Times New Roman" w:cs="Times New Roman"/>
      <w:sz w:val="24"/>
      <w:szCs w:val="24"/>
    </w:rPr>
  </w:style>
  <w:style w:type="character" w:styleId="Collegamentoipertestuale">
    <w:name w:val="Hyperlink"/>
    <w:basedOn w:val="Carpredefinitoparagrafo"/>
    <w:uiPriority w:val="99"/>
    <w:unhideWhenUsed/>
    <w:rsid w:val="00441DF3"/>
    <w:rPr>
      <w:color w:val="0000FF" w:themeColor="hyperlink"/>
      <w:u w:val="single"/>
    </w:rPr>
  </w:style>
  <w:style w:type="character" w:styleId="Rimandonotaapidipagina">
    <w:name w:val="footnote reference"/>
    <w:basedOn w:val="Carpredefinitoparagrafo"/>
    <w:uiPriority w:val="99"/>
    <w:semiHidden/>
    <w:unhideWhenUsed/>
    <w:rsid w:val="00441DF3"/>
    <w:rPr>
      <w:vertAlign w:val="superscript"/>
    </w:rPr>
  </w:style>
  <w:style w:type="paragraph" w:styleId="Testonotaapidipagina">
    <w:name w:val="footnote text"/>
    <w:basedOn w:val="Normale"/>
    <w:link w:val="TestonotaapidipaginaCarattere"/>
    <w:uiPriority w:val="99"/>
    <w:unhideWhenUsed/>
    <w:rsid w:val="00441DF3"/>
    <w:pPr>
      <w:autoSpaceDE w:val="0"/>
      <w:autoSpaceDN w:val="0"/>
      <w:adjustRightInd w:val="0"/>
      <w:spacing w:before="120" w:after="120" w:line="240" w:lineRule="auto"/>
      <w:jc w:val="both"/>
    </w:pPr>
    <w:rPr>
      <w:rFonts w:ascii="Times New Roman" w:hAnsi="Times New Roman" w:cs="Times New Roman"/>
      <w:color w:val="222222"/>
      <w:sz w:val="20"/>
      <w:szCs w:val="20"/>
      <w:shd w:val="clear" w:color="auto" w:fill="FFFFFF"/>
    </w:rPr>
  </w:style>
  <w:style w:type="character" w:customStyle="1" w:styleId="TestonotaapidipaginaCarattere">
    <w:name w:val="Testo nota a piè di pagina Carattere"/>
    <w:basedOn w:val="Carpredefinitoparagrafo"/>
    <w:link w:val="Testonotaapidipagina"/>
    <w:uiPriority w:val="99"/>
    <w:rsid w:val="00441DF3"/>
    <w:rPr>
      <w:rFonts w:ascii="Times New Roman" w:hAnsi="Times New Roman" w:cs="Times New Roman"/>
      <w:color w:val="222222"/>
      <w:sz w:val="20"/>
      <w:szCs w:val="20"/>
    </w:rPr>
  </w:style>
  <w:style w:type="paragraph" w:styleId="Intestazione">
    <w:name w:val="header"/>
    <w:basedOn w:val="Normale"/>
    <w:link w:val="IntestazioneCarattere"/>
    <w:uiPriority w:val="99"/>
    <w:unhideWhenUsed/>
    <w:rsid w:val="00537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859"/>
  </w:style>
  <w:style w:type="paragraph" w:styleId="Pidipagina">
    <w:name w:val="footer"/>
    <w:basedOn w:val="Normale"/>
    <w:link w:val="PidipaginaCarattere"/>
    <w:uiPriority w:val="99"/>
    <w:unhideWhenUsed/>
    <w:rsid w:val="00537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04C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530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0BE"/>
    <w:rPr>
      <w:rFonts w:ascii="Tahoma" w:hAnsi="Tahoma" w:cs="Tahoma"/>
      <w:sz w:val="16"/>
      <w:szCs w:val="16"/>
    </w:rPr>
  </w:style>
  <w:style w:type="paragraph" w:styleId="Paragrafoelenco">
    <w:name w:val="List Paragraph"/>
    <w:basedOn w:val="Normale"/>
    <w:uiPriority w:val="34"/>
    <w:qFormat/>
    <w:rsid w:val="00441DF3"/>
    <w:pPr>
      <w:autoSpaceDE w:val="0"/>
      <w:autoSpaceDN w:val="0"/>
      <w:adjustRightInd w:val="0"/>
      <w:spacing w:before="120" w:after="120" w:line="280" w:lineRule="exact"/>
      <w:ind w:left="720"/>
      <w:contextualSpacing/>
      <w:jc w:val="both"/>
    </w:pPr>
    <w:rPr>
      <w:rFonts w:ascii="Times New Roman" w:hAnsi="Times New Roman" w:cs="Times New Roman"/>
      <w:sz w:val="24"/>
      <w:szCs w:val="24"/>
    </w:rPr>
  </w:style>
  <w:style w:type="character" w:styleId="Collegamentoipertestuale">
    <w:name w:val="Hyperlink"/>
    <w:basedOn w:val="Carpredefinitoparagrafo"/>
    <w:uiPriority w:val="99"/>
    <w:unhideWhenUsed/>
    <w:rsid w:val="00441DF3"/>
    <w:rPr>
      <w:color w:val="0000FF" w:themeColor="hyperlink"/>
      <w:u w:val="single"/>
    </w:rPr>
  </w:style>
  <w:style w:type="character" w:styleId="Rimandonotaapidipagina">
    <w:name w:val="footnote reference"/>
    <w:basedOn w:val="Carpredefinitoparagrafo"/>
    <w:uiPriority w:val="99"/>
    <w:semiHidden/>
    <w:unhideWhenUsed/>
    <w:rsid w:val="00441DF3"/>
    <w:rPr>
      <w:vertAlign w:val="superscript"/>
    </w:rPr>
  </w:style>
  <w:style w:type="paragraph" w:styleId="Testonotaapidipagina">
    <w:name w:val="footnote text"/>
    <w:basedOn w:val="Normale"/>
    <w:link w:val="TestonotaapidipaginaCarattere"/>
    <w:uiPriority w:val="99"/>
    <w:unhideWhenUsed/>
    <w:rsid w:val="00441DF3"/>
    <w:pPr>
      <w:autoSpaceDE w:val="0"/>
      <w:autoSpaceDN w:val="0"/>
      <w:adjustRightInd w:val="0"/>
      <w:spacing w:before="120" w:after="120" w:line="240" w:lineRule="auto"/>
      <w:jc w:val="both"/>
    </w:pPr>
    <w:rPr>
      <w:rFonts w:ascii="Times New Roman" w:hAnsi="Times New Roman" w:cs="Times New Roman"/>
      <w:color w:val="222222"/>
      <w:sz w:val="20"/>
      <w:szCs w:val="20"/>
      <w:shd w:val="clear" w:color="auto" w:fill="FFFFFF"/>
    </w:rPr>
  </w:style>
  <w:style w:type="character" w:customStyle="1" w:styleId="TestonotaapidipaginaCarattere">
    <w:name w:val="Testo nota a piè di pagina Carattere"/>
    <w:basedOn w:val="Carpredefinitoparagrafo"/>
    <w:link w:val="Testonotaapidipagina"/>
    <w:uiPriority w:val="99"/>
    <w:rsid w:val="00441DF3"/>
    <w:rPr>
      <w:rFonts w:ascii="Times New Roman" w:hAnsi="Times New Roman" w:cs="Times New Roman"/>
      <w:color w:val="222222"/>
      <w:sz w:val="20"/>
      <w:szCs w:val="20"/>
    </w:rPr>
  </w:style>
  <w:style w:type="paragraph" w:styleId="Intestazione">
    <w:name w:val="header"/>
    <w:basedOn w:val="Normale"/>
    <w:link w:val="IntestazioneCarattere"/>
    <w:uiPriority w:val="99"/>
    <w:unhideWhenUsed/>
    <w:rsid w:val="00537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859"/>
  </w:style>
  <w:style w:type="paragraph" w:styleId="Pidipagina">
    <w:name w:val="footer"/>
    <w:basedOn w:val="Normale"/>
    <w:link w:val="PidipaginaCarattere"/>
    <w:uiPriority w:val="99"/>
    <w:unhideWhenUsed/>
    <w:rsid w:val="00537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azzettaufficiale.it/eli/id/2016/05/25/16G00097/sg" TargetMode="External"/><Relationship Id="rId2" Type="http://schemas.openxmlformats.org/officeDocument/2006/relationships/hyperlink" Target="https://europaem.eu/attachments/article/124/EUROPAEM_EMF_Guideline_2016_Italiano_8_2_2018.pdf" TargetMode="External"/><Relationship Id="rId1" Type="http://schemas.openxmlformats.org/officeDocument/2006/relationships/hyperlink" Target="https://www.isde.it/wp-content/uploads/2019/09/Rapporto-indipendente-isde_ec-sui-campi-elettromagnetici-1.pdf" TargetMode="External"/><Relationship Id="rId6" Type="http://schemas.openxmlformats.org/officeDocument/2006/relationships/hyperlink" Target="https://www.gazzettaufficiale.it/eli/id/2015/05/28/15G00082/sg" TargetMode="External"/><Relationship Id="rId5" Type="http://schemas.openxmlformats.org/officeDocument/2006/relationships/hyperlink" Target="https://www.gazzettaufficiale.it/atto/serie_generale/caricaDettaglioAtto/originario?atto.dataPubblicazioneGazzetta=2006-04-14&amp;atto.codiceRedazionale=006G0171" TargetMode="External"/><Relationship Id="rId4" Type="http://schemas.openxmlformats.org/officeDocument/2006/relationships/hyperlink" Target="https://www.iusinitinere.it/elettrosmog-quale-tutela-penale-66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8305-7418-48CE-8EA1-E47E43FD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2905</Words>
  <Characters>16559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cp:revision>
  <dcterms:created xsi:type="dcterms:W3CDTF">2020-01-31T19:34:00Z</dcterms:created>
  <dcterms:modified xsi:type="dcterms:W3CDTF">2020-01-31T19:36:00Z</dcterms:modified>
</cp:coreProperties>
</file>